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jc w:val="center"/>
        <w:rPr>
          <w:rFonts w:hint="eastAsia" w:ascii="宋体" w:hAnsi="宋体" w:cs="Vrinda"/>
          <w:b/>
          <w:bCs/>
          <w:color w:val="FF00FF"/>
          <w:spacing w:val="34"/>
          <w:sz w:val="94"/>
          <w:szCs w:val="94"/>
        </w:rPr>
      </w:pPr>
      <w:r>
        <w:rPr>
          <w:rFonts w:hint="eastAsia" w:ascii="宋体" w:hAnsi="宋体" w:cs="Vrinda"/>
          <w:b/>
          <w:bCs/>
          <w:color w:val="FF0000"/>
          <w:spacing w:val="34"/>
          <w:sz w:val="94"/>
          <w:szCs w:val="94"/>
        </w:rPr>
        <w:t>和龙林区基层法院</w:t>
      </w:r>
      <w:r>
        <w:rPr>
          <w:rFonts w:hint="eastAsia" w:ascii="宋体" w:hAnsi="宋体" w:eastAsia="Batang" w:cs="Vrinda"/>
          <w:b/>
          <w:bCs/>
          <w:color w:val="FF0000"/>
          <w:spacing w:val="34"/>
          <w:sz w:val="94"/>
          <w:szCs w:val="94"/>
          <w:lang w:eastAsia="ko-KR"/>
        </w:rPr>
        <w:t>화룡림구기층법원</w:t>
      </w:r>
    </w:p>
    <w:p>
      <w:pPr>
        <w:rPr>
          <w:rFonts w:hint="eastAsia" w:ascii="宋体" w:hAnsi="宋体" w:cs="Vrinda"/>
          <w:b/>
          <w:bCs/>
          <w:color w:val="FF0000"/>
          <w:sz w:val="40"/>
          <w:szCs w:val="40"/>
        </w:rPr>
      </w:pPr>
    </w:p>
    <w:p>
      <w:pPr>
        <w:jc w:val="center"/>
        <w:rPr>
          <w:rFonts w:hint="eastAsia" w:ascii="方正小标宋简体" w:hAnsi="仿宋" w:eastAsia="方正小标宋简体"/>
          <w:sz w:val="44"/>
          <w:szCs w:val="44"/>
        </w:rPr>
      </w:pPr>
      <w:r>
        <w:rPr>
          <w:rFonts w:hint="eastAsia"/>
          <w:color w:val="FF0000"/>
          <w:spacing w:val="-6"/>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367665</wp:posOffset>
                </wp:positionV>
                <wp:extent cx="5464175" cy="1651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464175" cy="16510"/>
                        </a:xfrm>
                        <a:prstGeom prst="straightConnector1">
                          <a:avLst/>
                        </a:prstGeom>
                        <a:ln w="1905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4.15pt;margin-top:28.95pt;height:1.3pt;width:430.25pt;z-index:251660288;mso-width-relative:page;mso-height-relative:page;" filled="f" stroked="t" coordsize="21600,21600" o:gfxdata="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f7aNDWAAAABwEAAA8AAAAAAAAAAQAgAAAAIgAA&#10;AGRycy9kb3ducmV2LnhtbFBLAQIUABQAAAAIAIdO4kDOMFCSCgIAAP8DAAAOAAAAAAAAAAEAIAAA&#10;ACUBAABkcnMvZTJvRG9jLnhtbFBLBQYAAAAABgAGAFkBAAChBQAAAAA=&#10;">
                <v:fill on="f" focussize="0,0"/>
                <v:stroke weight="1.5pt" color="#FF0000" joinstyle="round"/>
                <v:imagedata o:title=""/>
                <o:lock v:ext="edit" aspectratio="f"/>
              </v:shape>
            </w:pict>
          </mc:Fallback>
        </mc:AlternateContent>
      </w:r>
      <w:r>
        <w:rPr>
          <w:rFonts w:hint="eastAsia" w:ascii="仿宋" w:hAnsi="仿宋" w:eastAsia="仿宋" w:cs="仿宋"/>
          <w:sz w:val="32"/>
          <w:szCs w:val="32"/>
        </w:rPr>
        <w:t>和林法</w:t>
      </w:r>
      <w:r>
        <w:rPr>
          <w:rFonts w:hint="eastAsia" w:ascii="仿宋" w:hAnsi="仿宋" w:eastAsia="仿宋" w:cs="仿宋"/>
          <w:b/>
          <w:bCs/>
          <w:sz w:val="32"/>
          <w:szCs w:val="32"/>
        </w:rPr>
        <w:t>〔</w:t>
      </w: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b/>
          <w:bCs/>
          <w:sz w:val="32"/>
          <w:szCs w:val="32"/>
        </w:rPr>
        <w:t>〕</w:t>
      </w:r>
      <w:r>
        <w:rPr>
          <w:rFonts w:hint="eastAsia" w:ascii="仿宋" w:hAnsi="仿宋" w:eastAsia="仿宋" w:cs="仿宋"/>
          <w:b w:val="0"/>
          <w:bCs w:val="0"/>
          <w:sz w:val="32"/>
          <w:szCs w:val="32"/>
          <w:lang w:val="en-US" w:eastAsia="zh-CN"/>
        </w:rPr>
        <w:t>33</w:t>
      </w:r>
      <w:bookmarkStart w:id="0" w:name="_GoBack"/>
      <w:bookmarkEnd w:id="0"/>
      <w:r>
        <w:rPr>
          <w:rFonts w:hint="eastAsia" w:ascii="仿宋" w:hAnsi="仿宋" w:eastAsia="仿宋" w:cs="仿宋"/>
          <w:sz w:val="32"/>
          <w:szCs w:val="32"/>
        </w:rPr>
        <w:t>号</w:t>
      </w:r>
      <w:r>
        <w:rPr>
          <w:rFonts w:hint="eastAsia" w:ascii="宋体" w:hAnsi="宋体" w:eastAsia="Batang" w:cs="Vrinda"/>
          <w:b/>
          <w:bCs/>
          <w:color w:val="FF0000"/>
          <w:spacing w:val="-6"/>
          <w:sz w:val="32"/>
          <w:szCs w:val="32"/>
        </w:rPr>
        <w:t xml:space="preserve">                    </w:t>
      </w:r>
      <w:r>
        <w:rPr>
          <w:rFonts w:hint="eastAsia" w:ascii="宋体" w:hAnsi="宋体" w:cs="Vrinda"/>
          <w:b/>
          <w:bCs/>
          <w:color w:val="FF0000"/>
          <w:spacing w:val="-6"/>
          <w:sz w:val="32"/>
          <w:szCs w:val="32"/>
        </w:rPr>
        <w:t xml:space="preserve"> </w:t>
      </w:r>
    </w:p>
    <w:p>
      <w:pPr>
        <w:keepNext w:val="0"/>
        <w:keepLines w:val="0"/>
        <w:pageBreakBefore w:val="0"/>
        <w:kinsoku/>
        <w:wordWrap w:val="0"/>
        <w:overflowPunct/>
        <w:topLinePunct/>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spacing w:val="0"/>
          <w:sz w:val="44"/>
          <w:szCs w:val="44"/>
          <w:lang w:eastAsia="zh-CN"/>
        </w:rPr>
      </w:pPr>
    </w:p>
    <w:p>
      <w:pPr>
        <w:keepNext w:val="0"/>
        <w:keepLines w:val="0"/>
        <w:pageBreakBefore w:val="0"/>
        <w:kinsoku/>
        <w:wordWrap w:val="0"/>
        <w:overflowPunct/>
        <w:topLinePunct/>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spacing w:val="0"/>
          <w:sz w:val="44"/>
          <w:szCs w:val="44"/>
          <w:lang w:eastAsia="zh-CN"/>
        </w:rPr>
      </w:pPr>
      <w:r>
        <w:rPr>
          <w:rFonts w:hint="eastAsia" w:ascii="方正小标宋简体" w:hAnsi="方正小标宋简体" w:eastAsia="方正小标宋简体" w:cs="方正小标宋简体"/>
          <w:b w:val="0"/>
          <w:bCs/>
          <w:spacing w:val="0"/>
          <w:sz w:val="44"/>
          <w:szCs w:val="44"/>
          <w:lang w:eastAsia="zh-CN"/>
        </w:rPr>
        <w:t>和龙林区基层法院</w:t>
      </w:r>
    </w:p>
    <w:p>
      <w:pPr>
        <w:keepNext w:val="0"/>
        <w:keepLines w:val="0"/>
        <w:pageBreakBefore w:val="0"/>
        <w:kinsoku/>
        <w:wordWrap w:val="0"/>
        <w:overflowPunct/>
        <w:topLinePunct/>
        <w:autoSpaceDE/>
        <w:autoSpaceDN/>
        <w:bidi w:val="0"/>
        <w:adjustRightInd/>
        <w:snapToGrid/>
        <w:spacing w:line="570" w:lineRule="exact"/>
        <w:jc w:val="center"/>
        <w:textAlignment w:val="auto"/>
        <w:rPr>
          <w:rFonts w:hint="eastAsia" w:ascii="方正小标宋简体" w:hAnsi="方正小标宋简体" w:eastAsia="方正小标宋简体" w:cs="方正小标宋简体"/>
          <w:b w:val="0"/>
          <w:bCs/>
          <w:spacing w:val="0"/>
          <w:sz w:val="44"/>
          <w:szCs w:val="44"/>
          <w:lang w:eastAsia="zh-CN"/>
        </w:rPr>
      </w:pPr>
      <w:r>
        <w:rPr>
          <w:rFonts w:hint="eastAsia" w:ascii="方正小标宋简体" w:hAnsi="方正小标宋简体" w:eastAsia="方正小标宋简体" w:cs="方正小标宋简体"/>
          <w:b w:val="0"/>
          <w:bCs/>
          <w:spacing w:val="0"/>
          <w:sz w:val="44"/>
          <w:szCs w:val="44"/>
          <w:lang w:eastAsia="zh-CN"/>
        </w:rPr>
        <w:t>司法评估拍卖工作流程标准</w:t>
      </w:r>
    </w:p>
    <w:p>
      <w:pPr>
        <w:keepNext w:val="0"/>
        <w:keepLines w:val="0"/>
        <w:pageBreakBefore w:val="0"/>
        <w:kinsoku/>
        <w:wordWrap w:val="0"/>
        <w:overflowPunct/>
        <w:topLinePunct/>
        <w:autoSpaceDE/>
        <w:autoSpaceDN/>
        <w:bidi w:val="0"/>
        <w:adjustRightInd/>
        <w:snapToGrid/>
        <w:spacing w:line="570" w:lineRule="exact"/>
        <w:jc w:val="center"/>
        <w:textAlignment w:val="auto"/>
        <w:rPr>
          <w:rFonts w:hint="eastAsia" w:asciiTheme="minorEastAsia" w:hAnsiTheme="minorEastAsia" w:eastAsiaTheme="minorEastAsia" w:cstheme="minorEastAsia"/>
          <w:b/>
          <w:spacing w:val="0"/>
          <w:sz w:val="32"/>
          <w:szCs w:val="32"/>
          <w:lang w:eastAsia="zh-CN"/>
        </w:rPr>
      </w:pP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0" w:firstLineChars="200"/>
        <w:jc w:val="left"/>
        <w:textAlignment w:val="auto"/>
        <w:rPr>
          <w:rStyle w:val="9"/>
          <w:rFonts w:hint="eastAsia" w:ascii="黑体" w:hAnsi="黑体" w:eastAsia="黑体" w:cs="黑体"/>
          <w:b w:val="0"/>
          <w:bCs w:val="0"/>
          <w:i w:val="0"/>
          <w:iCs w:val="0"/>
          <w:caps w:val="0"/>
          <w:color w:val="222222"/>
          <w:spacing w:val="0"/>
          <w:kern w:val="0"/>
          <w:sz w:val="32"/>
          <w:szCs w:val="32"/>
          <w:shd w:val="clear" w:fill="FFFFFF"/>
          <w:lang w:val="en-US" w:eastAsia="zh-CN" w:bidi="ar"/>
        </w:rPr>
      </w:pPr>
      <w:r>
        <w:rPr>
          <w:rStyle w:val="9"/>
          <w:rFonts w:hint="eastAsia" w:ascii="黑体" w:hAnsi="黑体" w:eastAsia="黑体" w:cs="黑体"/>
          <w:b w:val="0"/>
          <w:bCs w:val="0"/>
          <w:i w:val="0"/>
          <w:iCs w:val="0"/>
          <w:caps w:val="0"/>
          <w:color w:val="222222"/>
          <w:spacing w:val="0"/>
          <w:kern w:val="0"/>
          <w:sz w:val="32"/>
          <w:szCs w:val="32"/>
          <w:shd w:val="clear" w:fill="FFFFFF"/>
          <w:lang w:val="en-US" w:eastAsia="zh-CN" w:bidi="ar"/>
        </w:rPr>
        <w:t>第一章 一般规定</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Style w:val="9"/>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第一条【法律依据】</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为规范本院司法评估拍卖工作，根据《中华人民共和国民事诉讼法》、《最高人民法院关于人民法院民事执行中拍卖、变卖财产的规定》等相关规定，制定本规程。</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第二条【网拍概念、费用及平台】</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网络司法拍卖，是指人民法院在网络司法拍卖平台上，以电子竞价的方式，依法处置执行标的的方法。网络司法拍卖实行零佣金制度，即成交后买受人除支付拍卖成交款外，不需支付佣金及其他费用。网络司法拍卖选择淘宝网开发的技术平台。</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第三条【拍卖、管理方式】</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司法拍卖活动实行网络拍卖方式为主、委托拍卖方式为辅的原则。网络司法拍卖工作由执行局主导进行，并负责实施。</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0" w:firstLineChars="200"/>
        <w:jc w:val="left"/>
        <w:textAlignment w:val="auto"/>
        <w:rPr>
          <w:rStyle w:val="9"/>
          <w:rFonts w:hint="eastAsia" w:ascii="黑体" w:hAnsi="黑体" w:eastAsia="黑体" w:cs="黑体"/>
          <w:b w:val="0"/>
          <w:bCs w:val="0"/>
          <w:i w:val="0"/>
          <w:iCs w:val="0"/>
          <w:caps w:val="0"/>
          <w:color w:val="222222"/>
          <w:spacing w:val="0"/>
          <w:kern w:val="0"/>
          <w:sz w:val="32"/>
          <w:szCs w:val="32"/>
          <w:shd w:val="clear" w:fill="FFFFFF"/>
          <w:lang w:val="en-US" w:eastAsia="zh-CN" w:bidi="ar"/>
        </w:rPr>
      </w:pPr>
      <w:r>
        <w:rPr>
          <w:rStyle w:val="9"/>
          <w:rFonts w:hint="eastAsia" w:ascii="黑体" w:hAnsi="黑体" w:eastAsia="黑体" w:cs="黑体"/>
          <w:b w:val="0"/>
          <w:bCs w:val="0"/>
          <w:i w:val="0"/>
          <w:iCs w:val="0"/>
          <w:caps w:val="0"/>
          <w:color w:val="222222"/>
          <w:spacing w:val="0"/>
          <w:kern w:val="0"/>
          <w:sz w:val="32"/>
          <w:szCs w:val="32"/>
          <w:shd w:val="clear" w:fill="FFFFFF"/>
          <w:lang w:val="en-US" w:eastAsia="zh-CN" w:bidi="ar"/>
        </w:rPr>
        <w:t>第二章 拍卖标的</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第四条【拍卖标的】</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上网拍卖的执行标的应当是依法可以处分的物品或者财产权利。法律、行政法规禁止买卖的，不得作为拍卖标的，不得通过司法拍卖予以合法化。</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第五条【网拍范围】</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下列执行标的一般应当上网拍卖：（一）机动车、机器设备、电器等；（二）房屋所有权和土地等使用权；（三）公司股份、股权、企业经营管理权；（四）对集体资产股份的收益、抵押担保权；（五）物的租赁权及其他权益；（六）其他适宜上网拍卖的标的。执行标的不适宜或者无法上网拍卖的，仍采用委托拍卖方式办理。</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0" w:firstLineChars="200"/>
        <w:jc w:val="left"/>
        <w:textAlignment w:val="auto"/>
        <w:rPr>
          <w:rStyle w:val="9"/>
          <w:rFonts w:hint="eastAsia" w:ascii="黑体" w:hAnsi="黑体" w:eastAsia="黑体" w:cs="黑体"/>
          <w:b w:val="0"/>
          <w:bCs w:val="0"/>
          <w:i w:val="0"/>
          <w:iCs w:val="0"/>
          <w:caps w:val="0"/>
          <w:color w:val="222222"/>
          <w:spacing w:val="0"/>
          <w:kern w:val="0"/>
          <w:sz w:val="32"/>
          <w:szCs w:val="32"/>
          <w:shd w:val="clear" w:fill="FFFFFF"/>
          <w:lang w:val="en-US" w:eastAsia="zh-CN" w:bidi="ar"/>
        </w:rPr>
      </w:pPr>
      <w:r>
        <w:rPr>
          <w:rStyle w:val="9"/>
          <w:rFonts w:hint="eastAsia" w:ascii="黑体" w:hAnsi="黑体" w:eastAsia="黑体" w:cs="黑体"/>
          <w:b w:val="0"/>
          <w:bCs w:val="0"/>
          <w:i w:val="0"/>
          <w:iCs w:val="0"/>
          <w:caps w:val="0"/>
          <w:color w:val="222222"/>
          <w:spacing w:val="0"/>
          <w:kern w:val="0"/>
          <w:sz w:val="32"/>
          <w:szCs w:val="32"/>
          <w:shd w:val="clear" w:fill="FFFFFF"/>
          <w:lang w:val="en-US" w:eastAsia="zh-CN" w:bidi="ar"/>
        </w:rPr>
        <w:t>第三章 拍卖前准备</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第六条【标的控制】</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上网拍卖的执行标的应当是本院已依法查封、扣押、冻结的物品或者财产权利，并符合以下要求：（一）属于本院第一查封，并在查封期内有权处置的；（二）产权清晰，无权属争议的；（三）已充分查控，便于过户、交付的。</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第七条【动产调查】</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执行标的是动产，一般应当查明其名称、型号、规格、数量、权属、用途、现状、瑕疵、质押或留置、租赁使用、查封扣押情况等。执行标的是机动车的，一般应当查明机动车行驶证、车辆登记证书等权属情况；车辆行驶公里数、初次登记日期、保险终止日期、检验有效期及环保排放标准等；车辆存在的瑕疵、违章记录、交通事故后维修保养等；在车辆上设置的抵押、租赁等情况；其他应当查明的事项。</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第八条【不动产调查】</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执行标的是不动产房屋或工业厂房等的，一般应当查明其权属情况（土地使用权证、房产证）；构造及区位状况（朝向、楼层、面积、装修、用途及居住环境等）；抵押或租赁等情况；存在的瑕疵情况；优先购买权情况；税费缴纳情况；相关政策限制的规定；占有、使用情况；查封、冻结情况以及其他应当查明的事项。执行标的是其他财产权的，一般还应当查明其权属关系、所占比例、处理程序、条件限制等。</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第九条【参考价确定】</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人民法院查封、扣押、冻结财产后，对需要拍卖变卖、变卖的财产，应当在三十日内启动确定财产处置参考价程序。人民法院确定财产处置参考价，可以采取当事人议价、定向询价、网络询价、委托评估等方式。</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0" w:firstLineChars="200"/>
        <w:jc w:val="left"/>
        <w:textAlignment w:val="auto"/>
        <w:rPr>
          <w:rFonts w:hint="default"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人民法院确定参考价前，应当查明财产的权属、权利负担、占有使用、欠缴税费、质量瑕疵等事项。</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第十条【当事人议价】</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采取当事人议价方式确定参考价的，除一方当事人拒绝议价或者下落不明外，人民法院应当以适当的方式通知或者组织当事人进行协商，当事人应当在指定期限内提交议价结果。</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0"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双方当事人提交的议价结果一致，且不损害他人合法权益的，议价结果为参考价。</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第十一条【定向询价】</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当事人议价不能或者不成，且财产有计税基准价、政府定价或者政府指导价的，人民法院应当向确定参考价时财产所在地的有关机构进行定向询价。</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0"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双方当事人一直要求直接定向询价，且财产有计税基准价、政府定价或者政府指导价的，人民法院应当准许。</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0"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采取定向询价方式确定参考价的，人民法院应当向有关机构出具询价函，询价函应当载明询价要求、完成期限等内容。接受定向询价的机构在指定期限内出具的询价结果为参考价。</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第十二条【网络询价】</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定向询价不能或者不成，财产无需由专业人员现场勘验或者鉴定，且具备网络询价条件的，人民法院应当准许。</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0"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采取网络询价方式确定参考价的，人民法院应当同时向询价名单库中的全部司法网络询价机构平台发出网络询价委托书。网络询价委托书应当载明财产名称、物理特征、规格数量、目的要求、完成期限以及其他需要明确的内容等。</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第十三条【委托评估】</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法律、行政法规规定必须委托评估、双方当事人要求委托评估或者网络询价不能或者不成的，人民法院应当委托评估机构进行评估。</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default"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第十四条【启动拍卖】</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人民法院应当在参考价确定后十日内启动财产变卖程序。拍卖的，参照参考价确定起拍价；直接变卖的，参照参考价确定变卖价。</w:t>
      </w:r>
    </w:p>
    <w:p>
      <w:pPr>
        <w:keepNext w:val="0"/>
        <w:keepLines w:val="0"/>
        <w:pageBreakBefore w:val="0"/>
        <w:widowControl/>
        <w:numPr>
          <w:numId w:val="0"/>
        </w:numPr>
        <w:suppressLineNumbers w:val="0"/>
        <w:kinsoku/>
        <w:wordWrap w:val="0"/>
        <w:overflowPunct/>
        <w:topLinePunct/>
        <w:autoSpaceDE/>
        <w:autoSpaceDN/>
        <w:bidi w:val="0"/>
        <w:adjustRightInd/>
        <w:snapToGrid/>
        <w:spacing w:before="0" w:beforeAutospacing="0" w:after="0" w:afterAutospacing="0" w:line="570" w:lineRule="exact"/>
        <w:ind w:leftChars="200" w:right="0" w:rightChars="0"/>
        <w:jc w:val="left"/>
        <w:textAlignment w:val="auto"/>
        <w:rPr>
          <w:rStyle w:val="9"/>
          <w:rFonts w:hint="eastAsia" w:ascii="黑体" w:hAnsi="黑体" w:eastAsia="黑体" w:cs="黑体"/>
          <w:b w:val="0"/>
          <w:bCs w:val="0"/>
          <w:i w:val="0"/>
          <w:iCs w:val="0"/>
          <w:caps w:val="0"/>
          <w:color w:val="222222"/>
          <w:spacing w:val="0"/>
          <w:kern w:val="0"/>
          <w:sz w:val="32"/>
          <w:szCs w:val="32"/>
          <w:shd w:val="clear" w:fill="FFFFFF"/>
          <w:lang w:val="en-US" w:eastAsia="zh-CN" w:bidi="ar"/>
        </w:rPr>
      </w:pPr>
      <w:r>
        <w:rPr>
          <w:rStyle w:val="9"/>
          <w:rFonts w:hint="eastAsia" w:ascii="黑体" w:hAnsi="黑体" w:eastAsia="黑体" w:cs="黑体"/>
          <w:b w:val="0"/>
          <w:bCs w:val="0"/>
          <w:i w:val="0"/>
          <w:iCs w:val="0"/>
          <w:caps w:val="0"/>
          <w:color w:val="222222"/>
          <w:spacing w:val="0"/>
          <w:kern w:val="0"/>
          <w:sz w:val="32"/>
          <w:szCs w:val="32"/>
          <w:shd w:val="clear" w:fill="FFFFFF"/>
          <w:lang w:val="en-US" w:eastAsia="zh-CN" w:bidi="ar"/>
        </w:rPr>
        <w:t>第四章 拍卖公告</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第十五条【网拍公告】</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拍卖公告应当在网络司法拍卖平台网上发布；也可以根据潜在竞买人的分布情况，在相关媒介上发布。</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第十六条【保证金】</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竞拍动产的保证金按照起拍价的10%至30%确定，不动产和其他财产权按照起拍价的5%至20%确定。竞买人未竞得拍卖标的的，所缴纳的拍卖保证金在竞价结束后二十四小时内由网络司法拍卖系统自动解除冻结。</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Theme="minorEastAsia" w:hAnsiTheme="minorEastAsia" w:eastAsiaTheme="minorEastAsia" w:cstheme="minorEastAsia"/>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第十七条【降价幅度】</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拍卖应当确定保留价；拍卖保留价由执行部门参照评估价确定；未作评估的，参照市价确定，并应当征询有关当事人的意见。确定的保留价，第一次拍卖时，不得低于评估价或市价的80%；如果出现流拍，再行拍卖时可以酌情降低保留价，但每次降低的数额不得超过前次保留价的20%。拍卖保留价和降价拍卖幅度，应当保密，不得泄露。</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leftChars="200" w:right="0" w:rightChars="0"/>
        <w:jc w:val="left"/>
        <w:textAlignment w:val="auto"/>
        <w:rPr>
          <w:rStyle w:val="9"/>
          <w:rFonts w:hint="eastAsia" w:ascii="黑体" w:hAnsi="黑体" w:eastAsia="黑体" w:cs="黑体"/>
          <w:b w:val="0"/>
          <w:bCs w:val="0"/>
          <w:i w:val="0"/>
          <w:iCs w:val="0"/>
          <w:caps w:val="0"/>
          <w:color w:val="222222"/>
          <w:spacing w:val="0"/>
          <w:kern w:val="0"/>
          <w:sz w:val="32"/>
          <w:szCs w:val="32"/>
          <w:shd w:val="clear" w:fill="FFFFFF"/>
          <w:lang w:val="en-US" w:eastAsia="zh-CN" w:bidi="ar"/>
        </w:rPr>
      </w:pPr>
      <w:r>
        <w:rPr>
          <w:rStyle w:val="9"/>
          <w:rFonts w:hint="eastAsia" w:ascii="黑体" w:hAnsi="黑体" w:eastAsia="黑体" w:cs="黑体"/>
          <w:b w:val="0"/>
          <w:bCs w:val="0"/>
          <w:i w:val="0"/>
          <w:iCs w:val="0"/>
          <w:caps w:val="0"/>
          <w:color w:val="222222"/>
          <w:spacing w:val="0"/>
          <w:kern w:val="0"/>
          <w:sz w:val="32"/>
          <w:szCs w:val="32"/>
          <w:shd w:val="clear" w:fill="FFFFFF"/>
          <w:lang w:val="en-US" w:eastAsia="zh-CN" w:bidi="ar"/>
        </w:rPr>
        <w:t>第五章 拍卖开始、成交确认及其他</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第十八条【网拍开始及竞价幅度】</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拍卖公告确定的时间届满后，网络司法拍卖系统自动启动拍卖程序，由竞买人按照约定的出价幅度输入出价金额进行竞价。</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第十九条【网拍时间】</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在网络拍卖程序启动后，开拍时间为拍卖当日的10时，动产拍卖的竞价时间为十二个小时，不动产和其他财产权竞价时间为二十四个小时，由出价最高且达到或超过保留价者竞得。</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第二十条【网拍延时】</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在网络拍卖程序启动后，为充分竞价，防止在预设截止时间前竞价拥堵，网络司法拍卖系统自动设置了延期报价功能，在预定截止时间前两分钟有新的应价的，竞价时间自动延展五分钟，直到没有人竞价为止。</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第二十一条【成交确认】</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网络司法拍卖成交、买受人付清余款后，人民法院应当与买受人签订《网拍成交确认书》，由执行部门制作法律文书，并交付财产。网拍未成交的，应在拍卖（变卖）程序结束后向案件承办人移送网上拍卖（变卖）情况的截图。</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第二十二条【制作成交裁定及送达生效】</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拍卖成交或者以流拍的财产抵债的，执行部门应当作出裁定，并于价款或者需要补交的差价全额交付后十日内，送达买受人或者承受人。动产拍卖成交或者抵债后，其所有权自该动产交付时起转移给买受人或者承受人。不动产、有登记的特定动产或者其他财产权拍卖成交或者抵债后，该不动产、特定动产的所有权、其他财产权自拍卖成交或者抵债裁定送达买受人或者承受人时起转移。</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第二十三条【重新拍卖】</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拍卖成交后，买受人逾期未支付价款，人民法院可以裁定重新拍卖。需要重新拍卖（或变卖）的，由案件承办人出具重新拍卖（或变卖）裁定，向案件申请执行人、被执行人和原买受人等相关权利人送达该裁定后，再移送网拍小组进行重新网拍（或变卖）。重新拍卖时，原买受人不得参加竞买。重新拍卖的价款低于原拍卖价款的，差额部分价款、拍卖公告费用、其他合理损失，由原买受人承担。本院可以直接从其预交的保证金中扣除。扣除后保证金后有剩余的，应当退还原买受人；保证金数额不足的，可以责令原买受人补交；拒不补交的，强制执行。当事人或其他人扰乱网络司法拍卖，妨碍执行的，应当依据民事诉讼法关于妨碍执行的相关规定作出处罚。</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第二十四条【其他】</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拍卖公告期限、拍卖中止、暂缓、撤回及再行拍卖、以物抵债、变卖等按相关法律、司法解释以及本院有关规定执行。</w:t>
      </w:r>
    </w:p>
    <w:p>
      <w:pPr>
        <w:keepNext w:val="0"/>
        <w:keepLines w:val="0"/>
        <w:pageBreakBefore w:val="0"/>
        <w:widowControl/>
        <w:numPr>
          <w:ilvl w:val="0"/>
          <w:numId w:val="0"/>
        </w:numPr>
        <w:suppressLineNumbers w:val="0"/>
        <w:kinsoku/>
        <w:wordWrap w:val="0"/>
        <w:overflowPunct/>
        <w:topLinePunct/>
        <w:autoSpaceDE/>
        <w:autoSpaceDN/>
        <w:bidi w:val="0"/>
        <w:adjustRightInd/>
        <w:snapToGrid/>
        <w:spacing w:before="0" w:beforeAutospacing="0" w:after="0" w:afterAutospacing="0" w:line="570" w:lineRule="exact"/>
        <w:ind w:right="0" w:rightChars="0" w:firstLine="643" w:firstLineChars="200"/>
        <w:jc w:val="left"/>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r>
        <w:rPr>
          <w:rFonts w:hint="eastAsia" w:ascii="仿宋_GB2312" w:hAnsi="仿宋_GB2312" w:eastAsia="仿宋_GB2312" w:cs="仿宋_GB2312"/>
          <w:b/>
          <w:bCs/>
          <w:i w:val="0"/>
          <w:iCs w:val="0"/>
          <w:caps w:val="0"/>
          <w:color w:val="222222"/>
          <w:spacing w:val="0"/>
          <w:kern w:val="0"/>
          <w:sz w:val="32"/>
          <w:szCs w:val="32"/>
          <w:shd w:val="clear" w:fill="FFFFFF"/>
          <w:lang w:val="en-US" w:eastAsia="zh-CN" w:bidi="ar"/>
        </w:rPr>
        <w:t>第二十五条【施行规定】</w:t>
      </w:r>
      <w:r>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t>本规程自2023年1月1日起施行。</w:t>
      </w:r>
    </w:p>
    <w:p>
      <w:pPr>
        <w:pStyle w:val="2"/>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p>
    <w:p>
      <w:pPr>
        <w:pStyle w:val="2"/>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p>
    <w:p>
      <w:pPr>
        <w:pStyle w:val="2"/>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p>
    <w:p>
      <w:pPr>
        <w:pStyle w:val="2"/>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p>
    <w:p>
      <w:pPr>
        <w:pStyle w:val="2"/>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p>
    <w:p>
      <w:pPr>
        <w:pStyle w:val="2"/>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p>
    <w:p>
      <w:pPr>
        <w:pStyle w:val="2"/>
        <w:rPr>
          <w:rFonts w:hint="eastAsia" w:ascii="仿宋_GB2312" w:hAnsi="仿宋_GB2312" w:eastAsia="仿宋_GB2312" w:cs="仿宋_GB2312"/>
          <w:b w:val="0"/>
          <w:bCs w:val="0"/>
          <w:i w:val="0"/>
          <w:iCs w:val="0"/>
          <w:caps w:val="0"/>
          <w:color w:val="222222"/>
          <w:spacing w:val="0"/>
          <w:kern w:val="0"/>
          <w:sz w:val="32"/>
          <w:szCs w:val="32"/>
          <w:shd w:val="clear" w:fill="FFFFFF"/>
          <w:lang w:val="en-US" w:eastAsia="zh-CN" w:bidi="ar"/>
        </w:rPr>
      </w:pPr>
    </w:p>
    <w:p>
      <w:pPr>
        <w:pStyle w:val="2"/>
        <w:keepNext w:val="0"/>
        <w:keepLines w:val="0"/>
        <w:pageBreakBefore w:val="0"/>
        <w:widowControl w:val="0"/>
        <w:kinsoku/>
        <w:wordWrap/>
        <w:overflowPunct/>
        <w:topLinePunct w:val="0"/>
        <w:autoSpaceDE/>
        <w:autoSpaceDN/>
        <w:bidi w:val="0"/>
        <w:adjustRightInd/>
        <w:snapToGrid/>
        <w:spacing w:line="57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和龙林区基层法院</w:t>
      </w:r>
    </w:p>
    <w:p>
      <w:pPr>
        <w:pStyle w:val="2"/>
        <w:keepNext w:val="0"/>
        <w:keepLines w:val="0"/>
        <w:pageBreakBefore w:val="0"/>
        <w:widowControl w:val="0"/>
        <w:kinsoku/>
        <w:wordWrap/>
        <w:overflowPunct/>
        <w:topLinePunct w:val="0"/>
        <w:autoSpaceDE/>
        <w:autoSpaceDN/>
        <w:bidi w:val="0"/>
        <w:adjustRightInd/>
        <w:snapToGrid/>
        <w:spacing w:line="57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2022年8月29日</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 w:hAnsi="仿宋" w:eastAsia="仿宋" w:cs="仿宋"/>
          <w:sz w:val="32"/>
          <w:szCs w:val="32"/>
          <w:lang w:val="en-US" w:eastAsia="zh-CN"/>
        </w:rPr>
      </w:pPr>
    </w:p>
    <w:p>
      <w:pPr>
        <w:pStyle w:val="2"/>
        <w:keepNext w:val="0"/>
        <w:keepLines w:val="0"/>
        <w:pageBreakBefore w:val="0"/>
        <w:widowControl w:val="0"/>
        <w:kinsoku/>
        <w:wordWrap/>
        <w:overflowPunct/>
        <w:topLinePunct w:val="0"/>
        <w:autoSpaceDE/>
        <w:autoSpaceDN/>
        <w:bidi/>
        <w:adjustRightInd/>
        <w:snapToGrid/>
        <w:spacing w:line="570" w:lineRule="exact"/>
        <w:ind w:firstLine="616"/>
        <w:textAlignment w:val="auto"/>
        <w:rPr>
          <w:rFonts w:hint="default" w:ascii="仿宋" w:hAnsi="仿宋" w:eastAsia="仿宋"/>
          <w:spacing w:val="-6"/>
          <w:sz w:val="32"/>
          <w:szCs w:val="32"/>
          <w:lang w:val="en-US" w:eastAsia="zh-CN"/>
        </w:rPr>
      </w:pPr>
    </w:p>
    <w:p>
      <w:pPr>
        <w:pStyle w:val="2"/>
        <w:keepNext w:val="0"/>
        <w:keepLines w:val="0"/>
        <w:pageBreakBefore w:val="0"/>
        <w:widowControl w:val="0"/>
        <w:kinsoku/>
        <w:wordWrap/>
        <w:overflowPunct/>
        <w:topLinePunct w:val="0"/>
        <w:autoSpaceDE/>
        <w:autoSpaceDN/>
        <w:bidi/>
        <w:adjustRightInd/>
        <w:snapToGrid/>
        <w:spacing w:line="570" w:lineRule="exact"/>
        <w:ind w:firstLine="616"/>
        <w:textAlignment w:val="auto"/>
        <w:rPr>
          <w:rFonts w:hint="default" w:ascii="仿宋" w:hAnsi="仿宋" w:eastAsia="仿宋"/>
          <w:spacing w:val="-6"/>
          <w:sz w:val="32"/>
          <w:szCs w:val="32"/>
          <w:lang w:val="en-US" w:eastAsia="zh-CN"/>
        </w:rPr>
      </w:pPr>
    </w:p>
    <w:p>
      <w:pPr>
        <w:pStyle w:val="2"/>
        <w:keepNext w:val="0"/>
        <w:keepLines w:val="0"/>
        <w:pageBreakBefore w:val="0"/>
        <w:widowControl w:val="0"/>
        <w:kinsoku/>
        <w:wordWrap/>
        <w:overflowPunct/>
        <w:topLinePunct w:val="0"/>
        <w:autoSpaceDE/>
        <w:autoSpaceDN/>
        <w:bidi/>
        <w:adjustRightInd/>
        <w:snapToGrid/>
        <w:spacing w:line="570" w:lineRule="exact"/>
        <w:ind w:firstLine="616"/>
        <w:textAlignment w:val="auto"/>
        <w:rPr>
          <w:rFonts w:hint="default" w:ascii="仿宋" w:hAnsi="仿宋" w:eastAsia="仿宋"/>
          <w:spacing w:val="-6"/>
          <w:sz w:val="32"/>
          <w:szCs w:val="32"/>
          <w:lang w:val="en-US" w:eastAsia="zh-CN"/>
        </w:rPr>
      </w:pPr>
    </w:p>
    <w:p>
      <w:pPr>
        <w:pStyle w:val="2"/>
        <w:keepNext w:val="0"/>
        <w:keepLines w:val="0"/>
        <w:pageBreakBefore w:val="0"/>
        <w:widowControl w:val="0"/>
        <w:kinsoku/>
        <w:wordWrap/>
        <w:overflowPunct/>
        <w:topLinePunct w:val="0"/>
        <w:autoSpaceDE/>
        <w:autoSpaceDN/>
        <w:bidi/>
        <w:adjustRightInd/>
        <w:snapToGrid/>
        <w:spacing w:line="570" w:lineRule="exact"/>
        <w:ind w:firstLine="616"/>
        <w:textAlignment w:val="auto"/>
        <w:rPr>
          <w:rFonts w:hint="default" w:ascii="仿宋" w:hAnsi="仿宋" w:eastAsia="仿宋"/>
          <w:spacing w:val="-6"/>
          <w:sz w:val="32"/>
          <w:szCs w:val="32"/>
          <w:lang w:val="en-US" w:eastAsia="zh-CN"/>
        </w:rPr>
      </w:pPr>
    </w:p>
    <w:p>
      <w:pPr>
        <w:pStyle w:val="2"/>
        <w:keepNext w:val="0"/>
        <w:keepLines w:val="0"/>
        <w:pageBreakBefore w:val="0"/>
        <w:widowControl w:val="0"/>
        <w:kinsoku/>
        <w:wordWrap/>
        <w:overflowPunct/>
        <w:topLinePunct w:val="0"/>
        <w:autoSpaceDE/>
        <w:autoSpaceDN/>
        <w:bidi/>
        <w:adjustRightInd/>
        <w:snapToGrid/>
        <w:spacing w:line="570" w:lineRule="exact"/>
        <w:ind w:left="0" w:leftChars="0" w:firstLine="0" w:firstLineChars="0"/>
        <w:textAlignment w:val="auto"/>
        <w:rPr>
          <w:rFonts w:hint="default" w:ascii="仿宋" w:hAnsi="仿宋" w:eastAsia="仿宋"/>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308" w:firstLineChars="100"/>
        <w:textAlignment w:val="auto"/>
        <w:rPr>
          <w:rFonts w:hint="eastAsia" w:ascii="仿宋_GB2312" w:hAnsi="仿宋_GB2312" w:eastAsia="仿宋_GB2312" w:cs="仿宋_GB2312"/>
          <w:b w:val="0"/>
          <w:bCs w:val="0"/>
          <w:i w:val="0"/>
          <w:iCs w:val="0"/>
          <w:caps w:val="0"/>
          <w:color w:val="222222"/>
          <w:spacing w:val="0"/>
          <w:kern w:val="0"/>
          <w:sz w:val="32"/>
          <w:szCs w:val="32"/>
          <w:shd w:val="clear" w:fill="FFFFFF"/>
          <w:lang w:val="en" w:eastAsia="zh-CN" w:bidi="ar"/>
        </w:rPr>
      </w:pPr>
      <w:r>
        <w:rPr>
          <w:spacing w:val="-6"/>
          <w:sz w:val="32"/>
        </w:rPr>
        <mc:AlternateContent>
          <mc:Choice Requires="wps">
            <w:drawing>
              <wp:anchor distT="0" distB="0" distL="114300" distR="114300" simplePos="0" relativeHeight="251661312" behindDoc="0" locked="0" layoutInCell="1" allowOverlap="1">
                <wp:simplePos x="0" y="0"/>
                <wp:positionH relativeFrom="column">
                  <wp:posOffset>79375</wp:posOffset>
                </wp:positionH>
                <wp:positionV relativeFrom="paragraph">
                  <wp:posOffset>347345</wp:posOffset>
                </wp:positionV>
                <wp:extent cx="5471795" cy="635"/>
                <wp:effectExtent l="0" t="0" r="0" b="0"/>
                <wp:wrapNone/>
                <wp:docPr id="4" name="直接连接符 4"/>
                <wp:cNvGraphicFramePr/>
                <a:graphic xmlns:a="http://schemas.openxmlformats.org/drawingml/2006/main">
                  <a:graphicData uri="http://schemas.microsoft.com/office/word/2010/wordprocessingShape">
                    <wps:wsp>
                      <wps:cNvSpPr/>
                      <wps:spPr>
                        <a:xfrm>
                          <a:off x="0" y="0"/>
                          <a:ext cx="547179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25pt;margin-top:27.35pt;height:0.05pt;width:430.85pt;z-index:251661312;mso-width-relative:page;mso-height-relative:page;" filled="f" stroked="t" coordsize="21600,21600" o:gfxdata="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JW+yfXAAAACAEAAA8AAAAAAAAAAQAgAAAAIgAAAGRycy9kb3ducmV2LnhtbFBL&#10;AQIUABQAAAAIAIdO4kDukC6N9wEAAOcDAAAOAAAAAAAAAAEAIAAAACYBAABkcnMvZTJvRG9jLnht&#10;bFBLBQYAAAAABgAGAFkBAACPBQAAAAA=&#10;">
                <v:path arrowok="t"/>
                <v:fill on="f" focussize="0,0"/>
                <v:stroke weight="1pt"/>
                <v:imagedata o:title=""/>
                <o:lock v:ext="edit" aspectratio="f"/>
              </v:line>
            </w:pict>
          </mc:Fallback>
        </mc:AlternateContent>
      </w:r>
      <w:r>
        <w:rPr>
          <w:spacing w:val="-6"/>
          <w:sz w:val="32"/>
        </w:rPr>
        <mc:AlternateContent>
          <mc:Choice Requires="wps">
            <w:drawing>
              <wp:anchor distT="0" distB="0" distL="114300" distR="114300" simplePos="0" relativeHeight="251662336" behindDoc="0" locked="0" layoutInCell="1" allowOverlap="1">
                <wp:simplePos x="0" y="0"/>
                <wp:positionH relativeFrom="column">
                  <wp:posOffset>79375</wp:posOffset>
                </wp:positionH>
                <wp:positionV relativeFrom="paragraph">
                  <wp:posOffset>26670</wp:posOffset>
                </wp:positionV>
                <wp:extent cx="5471795" cy="635"/>
                <wp:effectExtent l="0" t="0" r="0" b="0"/>
                <wp:wrapNone/>
                <wp:docPr id="5" name="直接连接符 5"/>
                <wp:cNvGraphicFramePr/>
                <a:graphic xmlns:a="http://schemas.openxmlformats.org/drawingml/2006/main">
                  <a:graphicData uri="http://schemas.microsoft.com/office/word/2010/wordprocessingShape">
                    <wps:wsp>
                      <wps:cNvSpPr/>
                      <wps:spPr>
                        <a:xfrm>
                          <a:off x="0" y="0"/>
                          <a:ext cx="5471795" cy="635"/>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25pt;margin-top:2.1pt;height:0.05pt;width:430.85pt;z-index:251662336;mso-width-relative:page;mso-height-relative:page;" filled="f" stroked="t" coordsize="21600,21600" o:gfxdata="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Qtm/1AAAAAYBAAAPAAAAAAAAAAEAIAAAACIAAABkcnMvZG93bnJldi54bWxQSwEC&#10;FAAUAAAACACHTuJA6U4cXPgBAADnAwAADgAAAAAAAAABACAAAAAjAQAAZHJzL2Uyb0RvYy54bWxQ&#10;SwUGAAAAAAYABgBZAQAAjQUAAAAA&#10;">
                <v:path arrowok="t"/>
                <v:fill on="f" focussize="0,0"/>
                <v:stroke weight="1pt"/>
                <v:imagedata o:title=""/>
                <o:lock v:ext="edit" aspectratio="f"/>
              </v:line>
            </w:pict>
          </mc:Fallback>
        </mc:AlternateContent>
      </w:r>
      <w:r>
        <w:rPr>
          <w:rFonts w:hint="eastAsia" w:ascii="仿宋" w:hAnsi="仿宋" w:eastAsia="仿宋" w:cs="仿宋"/>
          <w:spacing w:val="-6"/>
          <w:sz w:val="32"/>
          <w:szCs w:val="32"/>
        </w:rPr>
        <w:t xml:space="preserve">和龙林区基层法院                </w:t>
      </w:r>
      <w:r>
        <w:rPr>
          <w:rFonts w:hint="eastAsia" w:ascii="仿宋" w:hAnsi="仿宋" w:eastAsia="仿宋" w:cs="仿宋"/>
          <w:spacing w:val="-6"/>
          <w:sz w:val="32"/>
          <w:szCs w:val="32"/>
          <w:lang w:val="en-US" w:eastAsia="zh-CN"/>
        </w:rPr>
        <w:t xml:space="preserve">  </w:t>
      </w:r>
      <w:r>
        <w:rPr>
          <w:rFonts w:hint="eastAsia" w:ascii="仿宋" w:hAnsi="仿宋" w:eastAsia="仿宋" w:cs="仿宋"/>
          <w:spacing w:val="-6"/>
          <w:sz w:val="32"/>
          <w:szCs w:val="32"/>
        </w:rPr>
        <w:t>20</w:t>
      </w:r>
      <w:r>
        <w:rPr>
          <w:rFonts w:hint="eastAsia" w:ascii="仿宋" w:hAnsi="仿宋" w:eastAsia="仿宋" w:cs="仿宋"/>
          <w:spacing w:val="-6"/>
          <w:sz w:val="32"/>
          <w:szCs w:val="32"/>
          <w:lang w:val="en-US" w:eastAsia="zh-CN"/>
        </w:rPr>
        <w:t>22</w:t>
      </w:r>
      <w:r>
        <w:rPr>
          <w:rFonts w:hint="eastAsia" w:ascii="仿宋" w:hAnsi="仿宋" w:eastAsia="仿宋" w:cs="仿宋"/>
          <w:spacing w:val="-6"/>
          <w:sz w:val="32"/>
          <w:szCs w:val="32"/>
        </w:rPr>
        <w:t>年</w:t>
      </w:r>
      <w:r>
        <w:rPr>
          <w:rFonts w:hint="eastAsia" w:ascii="仿宋" w:hAnsi="仿宋" w:eastAsia="仿宋" w:cs="仿宋"/>
          <w:spacing w:val="-6"/>
          <w:sz w:val="32"/>
          <w:szCs w:val="32"/>
          <w:lang w:val="en-US" w:eastAsia="zh-CN"/>
        </w:rPr>
        <w:t>8</w:t>
      </w:r>
      <w:r>
        <w:rPr>
          <w:rFonts w:hint="eastAsia" w:ascii="仿宋" w:hAnsi="仿宋" w:eastAsia="仿宋" w:cs="仿宋"/>
          <w:spacing w:val="-6"/>
          <w:sz w:val="32"/>
          <w:szCs w:val="32"/>
        </w:rPr>
        <w:t>月</w:t>
      </w:r>
      <w:r>
        <w:rPr>
          <w:rFonts w:hint="eastAsia" w:ascii="仿宋" w:hAnsi="仿宋" w:eastAsia="仿宋" w:cs="仿宋"/>
          <w:spacing w:val="-6"/>
          <w:sz w:val="32"/>
          <w:szCs w:val="32"/>
          <w:lang w:val="en-US" w:eastAsia="zh-CN"/>
        </w:rPr>
        <w:t>29</w:t>
      </w:r>
      <w:r>
        <w:rPr>
          <w:rFonts w:hint="eastAsia" w:ascii="仿宋" w:hAnsi="仿宋" w:eastAsia="仿宋" w:cs="仿宋"/>
          <w:spacing w:val="-6"/>
          <w:sz w:val="32"/>
          <w:szCs w:val="32"/>
        </w:rPr>
        <w:t>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rinda">
    <w:panose1 w:val="020B0502040204020203"/>
    <w:charset w:val="00"/>
    <w:family w:val="swiss"/>
    <w:pitch w:val="default"/>
    <w:sig w:usb0="00010003"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kODExZmE0NjAzNWM3YjlhMGE0NzAzZDY4ZDg3ZjIifQ=="/>
  </w:docVars>
  <w:rsids>
    <w:rsidRoot w:val="00AC69A7"/>
    <w:rsid w:val="00031C88"/>
    <w:rsid w:val="0003692A"/>
    <w:rsid w:val="0004158B"/>
    <w:rsid w:val="0011174B"/>
    <w:rsid w:val="002135FD"/>
    <w:rsid w:val="00245B31"/>
    <w:rsid w:val="00296DBE"/>
    <w:rsid w:val="002C36C8"/>
    <w:rsid w:val="00303631"/>
    <w:rsid w:val="003C6D94"/>
    <w:rsid w:val="003E10C4"/>
    <w:rsid w:val="0041731A"/>
    <w:rsid w:val="004F0DF0"/>
    <w:rsid w:val="005C2A77"/>
    <w:rsid w:val="006257E6"/>
    <w:rsid w:val="006360D0"/>
    <w:rsid w:val="006D25C9"/>
    <w:rsid w:val="00710AEB"/>
    <w:rsid w:val="0078489E"/>
    <w:rsid w:val="007F14D9"/>
    <w:rsid w:val="00815886"/>
    <w:rsid w:val="00955A45"/>
    <w:rsid w:val="0095632E"/>
    <w:rsid w:val="0098536F"/>
    <w:rsid w:val="009E45DE"/>
    <w:rsid w:val="00A17265"/>
    <w:rsid w:val="00A9056C"/>
    <w:rsid w:val="00AC69A7"/>
    <w:rsid w:val="00AF09AD"/>
    <w:rsid w:val="00BB20D8"/>
    <w:rsid w:val="00BB58DD"/>
    <w:rsid w:val="00BE2185"/>
    <w:rsid w:val="00C13043"/>
    <w:rsid w:val="00C85BF0"/>
    <w:rsid w:val="00D35405"/>
    <w:rsid w:val="00E1074F"/>
    <w:rsid w:val="00E62114"/>
    <w:rsid w:val="00EC41CB"/>
    <w:rsid w:val="00EC60DC"/>
    <w:rsid w:val="00EC6E90"/>
    <w:rsid w:val="00EE1AD8"/>
    <w:rsid w:val="00F148A6"/>
    <w:rsid w:val="00F63165"/>
    <w:rsid w:val="17F4C75E"/>
    <w:rsid w:val="27FB3132"/>
    <w:rsid w:val="2C8A02A9"/>
    <w:rsid w:val="34FF8004"/>
    <w:rsid w:val="3C5B59EA"/>
    <w:rsid w:val="3EF91BBA"/>
    <w:rsid w:val="3FDF53B3"/>
    <w:rsid w:val="55450A62"/>
    <w:rsid w:val="57B5A1FF"/>
    <w:rsid w:val="5F9F4B8B"/>
    <w:rsid w:val="639F9160"/>
    <w:rsid w:val="77DEC2DF"/>
    <w:rsid w:val="7EFBC02E"/>
    <w:rsid w:val="7F4F759F"/>
    <w:rsid w:val="7FEDD988"/>
    <w:rsid w:val="7FF447CF"/>
    <w:rsid w:val="9DFFE8D9"/>
    <w:rsid w:val="DFFE8A45"/>
    <w:rsid w:val="EFBAD091"/>
    <w:rsid w:val="EFD3D352"/>
    <w:rsid w:val="F17F59C1"/>
    <w:rsid w:val="FD6C1032"/>
    <w:rsid w:val="FDBDCB85"/>
    <w:rsid w:val="FEDCC0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3094</Words>
  <Characters>3113</Characters>
  <Lines>4</Lines>
  <Paragraphs>1</Paragraphs>
  <TotalTime>0</TotalTime>
  <ScaleCrop>false</ScaleCrop>
  <LinksUpToDate>false</LinksUpToDate>
  <CharactersWithSpaces>3138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2022-07-04T01:02:00Z</dcterms:created>
  <dc:creator>朴铉进</dc:creator>
  <cp:lastModifiedBy>梁钰</cp:lastModifiedBy>
  <cp:lastPrinted>2022-07-07T02:54:00Z</cp:lastPrinted>
  <dcterms:modified xsi:type="dcterms:W3CDTF">2022-09-26T06:01:57Z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86B44026CAAF4A77A536B2671793BA2C</vt:lpwstr>
  </property>
</Properties>
</file>