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autoSpaceDE/>
        <w:autoSpaceDN/>
        <w:bidi w:val="0"/>
        <w:adjustRightInd/>
        <w:snapToGrid/>
        <w:ind w:firstLine="880" w:firstLineChars="200"/>
        <w:jc w:val="center"/>
        <w:textAlignment w:val="auto"/>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关于米秋林与</w:t>
      </w:r>
      <w:r>
        <w:rPr>
          <w:rFonts w:hint="eastAsia" w:asciiTheme="majorEastAsia" w:hAnsiTheme="majorEastAsia" w:eastAsiaTheme="majorEastAsia" w:cstheme="majorEastAsia"/>
          <w:sz w:val="44"/>
          <w:szCs w:val="44"/>
          <w:lang w:val="en-US" w:eastAsia="zh-CN"/>
        </w:rPr>
        <w:t>中铁十九局集团第二工程有限公司其他案由一案，设置宽限期，善意文明执行为企业</w:t>
      </w:r>
      <w:r>
        <w:rPr>
          <w:rFonts w:hint="eastAsia" w:asciiTheme="majorEastAsia" w:hAnsiTheme="majorEastAsia" w:eastAsiaTheme="majorEastAsia" w:cstheme="majorEastAsia"/>
          <w:sz w:val="44"/>
          <w:szCs w:val="44"/>
          <w:lang w:eastAsia="zh-CN"/>
        </w:rPr>
        <w:t>纾困解难</w:t>
      </w:r>
    </w:p>
    <w:p>
      <w:pPr>
        <w:keepNext w:val="0"/>
        <w:keepLines w:val="0"/>
        <w:pageBreakBefore w:val="0"/>
        <w:widowControl w:val="0"/>
        <w:kinsoku/>
        <w:wordWrap w:val="0"/>
        <w:overflowPunct/>
        <w:topLinePunct/>
        <w:autoSpaceDE/>
        <w:autoSpaceDN/>
        <w:bidi w:val="0"/>
        <w:adjustRightInd/>
        <w:snapToGrid/>
        <w:ind w:firstLine="642" w:firstLineChars="200"/>
        <w:textAlignment w:val="auto"/>
        <w:rPr>
          <w:rFonts w:hint="eastAsia"/>
          <w:b/>
          <w:bCs/>
          <w:sz w:val="32"/>
          <w:szCs w:val="32"/>
          <w:lang w:eastAsia="zh-CN"/>
        </w:rPr>
      </w:pPr>
      <w:r>
        <w:rPr>
          <w:rFonts w:hint="eastAsia"/>
          <w:b/>
          <w:bCs/>
          <w:sz w:val="32"/>
          <w:szCs w:val="32"/>
          <w:lang w:eastAsia="zh-CN"/>
        </w:rPr>
        <w:t>基本案情：</w:t>
      </w:r>
    </w:p>
    <w:p>
      <w:pPr>
        <w:wordWrap w:val="0"/>
        <w:topLinePunct/>
        <w:adjustRightInd w:val="0"/>
        <w:spacing w:line="64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2010年8月20日，原告米秋林与八家子林业有限公司签订生产经济沟系开发养殖承包经营合同书，承包经营八家子林业有限公司古洞河林场青松沟一号面积636公顷，承包期限为2010年8月20日-2019年11月30日，承包金额为155000元。合同签订后，原告米秋林在承包沟系内进行了林蛙养殖投资。2017年4月，被告中铁公司项目部开始在八家子林业有限公司古洞河林场修建龙蒲高速公路04标段。在原告林蛙养殖区域，用大型推土机和重型车运输石料，扩修原八家子林业有限公司冬季运道路过程中，破坏、填埋了原告的林蛙养殖的孵化池和越冬池等设施，同时被告中铁公司每天有运输施工材料的重型车辆不断通过，破坏和改变了林蛙养殖条件和生存环境，使原告无法在该区域养殖、繁衍林蛙。原告米秋林与被告中铁公司04标段项目部就林蛙养殖损失赔偿问题，经和龙林区基层法院审理判决被告中铁十九局第二工程有限公司于判决生效之日起十日内赔偿原告米秋林养殖林蛙损失款369918元。</w:t>
      </w:r>
    </w:p>
    <w:p>
      <w:pPr>
        <w:keepNext w:val="0"/>
        <w:keepLines w:val="0"/>
        <w:pageBreakBefore w:val="0"/>
        <w:widowControl w:val="0"/>
        <w:kinsoku/>
        <w:wordWrap w:val="0"/>
        <w:overflowPunct/>
        <w:topLinePunct/>
        <w:autoSpaceDE/>
        <w:autoSpaceDN/>
        <w:bidi w:val="0"/>
        <w:adjustRightInd/>
        <w:snapToGrid/>
        <w:spacing w:line="640" w:lineRule="exact"/>
        <w:ind w:firstLine="642" w:firstLineChars="200"/>
        <w:textAlignment w:val="auto"/>
        <w:rPr>
          <w:rFonts w:hint="eastAsia"/>
          <w:sz w:val="32"/>
          <w:szCs w:val="32"/>
          <w:lang w:val="en-US" w:eastAsia="zh-CN"/>
        </w:rPr>
      </w:pPr>
      <w:r>
        <w:rPr>
          <w:rFonts w:hint="eastAsia"/>
          <w:b/>
          <w:bCs/>
          <w:sz w:val="32"/>
          <w:szCs w:val="32"/>
          <w:lang w:eastAsia="zh-CN"/>
        </w:rPr>
        <w:t>执行经过：</w:t>
      </w:r>
    </w:p>
    <w:p>
      <w:pPr>
        <w:wordWrap w:val="0"/>
        <w:topLinePunct/>
        <w:adjustRightInd w:val="0"/>
        <w:spacing w:line="64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2021年1月7日判决生效后，被告迟迟未履行生效法律文书确定的义务，原告米秋林向本院申请强制执行。执行过程中，一是向申请执行人米秋林送达了受理案件通知书、提供被执行人财产状况通知书等法律文书；向被执行人中铁十九局集团第二工程有限公司邮寄送达了执行通知书、报告财产令（财产申报表）等法律文书。二是通过网络查控系统查询被执行人中铁十九局集团第二工程有限公司车辆、证券、互联网银行、自然资源部、银行存款、保险等信息。经查，被执行人中铁十九局集团第二工程有限公司名下银行账户均已被其他法院冻结中，另有保证金账户及农民工工资专用账户无法执行。被执行人中铁十九局集团第二工程有限公司名下有车辆，申请执行人表示，因被执行人名下车辆在外省市，待找到实际车辆后再进入评估拍卖程序。三是在传统查控中，委托辽阳市文圣区人民法院查询被执行人中铁十九局集团第二工程有限公司名下财产情况。经查，被执行人中铁十九局集团第二工程有限公司名下有多处房产在外省市，申请执行人表示待到当地实际核实以后再决定进入评估拍卖程序的房产。四是根据申请执行人的申请，将被执行人中铁十九局集团第二工程有限公司采取限制高消费措施。五是对申请执行人米秋林进行终本约谈并制作终本笔录，申请执行人同意终结本次执行程序。</w:t>
      </w:r>
    </w:p>
    <w:p>
      <w:pPr>
        <w:wordWrap w:val="0"/>
        <w:topLinePunct/>
        <w:adjustRightInd w:val="0"/>
        <w:spacing w:line="64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今年新年后的第一个工作日，被执行人主动联系我院执行法官，表明其有财产履行生效法律文书确定的义务。本院依职权恢复执行。案件恢复执行后，被执行人中铁十九局集团第二工程有限公司向本院自动履行了421503.97元（包括赔偿款、申请执行费、迟延履行期间的债务利息）。之后我院向申请执行人米秋林支付案款416054.97元，向本院支付申请执行费5449元。至此，本案已执行完毕。</w:t>
      </w:r>
    </w:p>
    <w:p>
      <w:pPr>
        <w:keepNext w:val="0"/>
        <w:keepLines w:val="0"/>
        <w:pageBreakBefore w:val="0"/>
        <w:widowControl w:val="0"/>
        <w:kinsoku/>
        <w:wordWrap w:val="0"/>
        <w:overflowPunct/>
        <w:topLinePunct/>
        <w:autoSpaceDE/>
        <w:autoSpaceDN/>
        <w:bidi w:val="0"/>
        <w:adjustRightInd/>
        <w:snapToGrid/>
        <w:spacing w:line="640" w:lineRule="exact"/>
        <w:ind w:firstLine="640" w:firstLineChars="200"/>
        <w:textAlignment w:val="auto"/>
        <w:rPr>
          <w:rFonts w:hint="eastAsia"/>
          <w:sz w:val="32"/>
          <w:szCs w:val="32"/>
          <w:lang w:val="en-US" w:eastAsia="zh-CN"/>
        </w:rPr>
      </w:pPr>
    </w:p>
    <w:p>
      <w:pPr>
        <w:keepNext w:val="0"/>
        <w:keepLines w:val="0"/>
        <w:pageBreakBefore w:val="0"/>
        <w:widowControl w:val="0"/>
        <w:kinsoku/>
        <w:wordWrap w:val="0"/>
        <w:overflowPunct/>
        <w:topLinePunct/>
        <w:autoSpaceDE/>
        <w:autoSpaceDN/>
        <w:bidi w:val="0"/>
        <w:adjustRightInd/>
        <w:snapToGrid/>
        <w:spacing w:line="640" w:lineRule="exact"/>
        <w:ind w:firstLine="642" w:firstLineChars="200"/>
        <w:textAlignment w:val="auto"/>
        <w:rPr>
          <w:rFonts w:hint="eastAsia"/>
          <w:b/>
          <w:bCs/>
          <w:sz w:val="32"/>
          <w:szCs w:val="32"/>
          <w:lang w:val="en-US" w:eastAsia="zh-CN"/>
        </w:rPr>
      </w:pPr>
      <w:r>
        <w:rPr>
          <w:rFonts w:hint="eastAsia"/>
          <w:b/>
          <w:bCs/>
          <w:sz w:val="32"/>
          <w:szCs w:val="32"/>
          <w:lang w:val="en-US" w:eastAsia="zh-CN"/>
        </w:rPr>
        <w:t>执行要旨：</w:t>
      </w:r>
    </w:p>
    <w:p>
      <w:pPr>
        <w:wordWrap w:val="0"/>
        <w:topLinePunct/>
        <w:adjustRightInd w:val="0"/>
        <w:spacing w:line="64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践行善意文明执行是人民法院推进地区优化营商环境进程、实现经济高质量发展的“助推器”，是助力疫情困难时期企业复工复产的“强心剂”，在依法保障胜诉当事人合法权益的基础上，最大限度减少对被执行人合法权益影响的应有之义。本案在执行过程中，执行法官发现，被执行人并非无履行能力，也有积极履行还款义务的意愿。于是约谈了被执行人，了解到如果强制冻结被执行企业账户将会导致企业资金链断裂，生产经营受到严重影响。我院执行局充分评估强制执行措施给企业造成的风险和影响后，决定调整执行策略，暂不对被执行企业采取强制执行措施。经过多次约谈、耐心细致的沟通，申请执行人同意为被执行企业设置履行“宽限期”。这才有了前面被执行企业主动履行赔偿款的一幕。</w:t>
      </w:r>
    </w:p>
    <w:p>
      <w:pPr>
        <w:wordWrap w:val="0"/>
        <w:topLinePunct/>
        <w:adjustRightInd w:val="0"/>
        <w:spacing w:line="640" w:lineRule="exact"/>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关于涉企案件的执行，我院执行局已制定《和龙林区基层法院关于强化依法规范公正善意文明执行理念进一步做好优化营商环境工作的指导意见》，严格落实涉企案件的善意文明执行行动。此外为减少涉诉企业司法成本，我院执行局制定《和龙林区基层法院关于强化依法高效推进执行程序进一步做好优化营商环境工作的实施方案》，通过压降案均结案用时、压降财产变价成本、切实提升首拍成交率、以及完善繁简分流工作机制四项办法以达到合理控制执行成本，切实减少执行过程中不必要的时间拖延及费用支出，切实减轻执行当事人的负担的目的。</w:t>
      </w:r>
    </w:p>
    <w:p>
      <w:pPr>
        <w:keepNext w:val="0"/>
        <w:keepLines w:val="0"/>
        <w:pageBreakBefore w:val="0"/>
        <w:widowControl w:val="0"/>
        <w:kinsoku/>
        <w:wordWrap w:val="0"/>
        <w:overflowPunct/>
        <w:topLinePunct/>
        <w:autoSpaceDE/>
        <w:autoSpaceDN/>
        <w:bidi w:val="0"/>
        <w:adjustRightInd/>
        <w:snapToGrid/>
        <w:spacing w:line="640" w:lineRule="exact"/>
        <w:ind w:firstLine="642" w:firstLineChars="200"/>
        <w:textAlignment w:val="auto"/>
        <w:rPr>
          <w:rFonts w:hint="eastAsia"/>
          <w:b/>
          <w:bCs/>
          <w:sz w:val="32"/>
          <w:szCs w:val="32"/>
          <w:lang w:val="en-US" w:eastAsia="zh-CN"/>
        </w:rPr>
      </w:pPr>
      <w:r>
        <w:rPr>
          <w:rFonts w:hint="eastAsia"/>
          <w:b/>
          <w:bCs/>
          <w:sz w:val="32"/>
          <w:szCs w:val="32"/>
          <w:lang w:val="en-US" w:eastAsia="zh-CN"/>
        </w:rPr>
        <w:t>典型意义：</w:t>
      </w:r>
    </w:p>
    <w:p>
      <w:pPr>
        <w:wordWrap w:val="0"/>
        <w:topLinePunct/>
        <w:adjustRightInd w:val="0"/>
        <w:spacing w:line="640" w:lineRule="exact"/>
        <w:ind w:firstLine="640" w:firstLine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和龙林区基层法院执行局在涉企案件执行过程中，规范公正使用善意文明执行理念，充分考量、平衡各方当事人利益，在依法保障胜诉当事人合法权益的同时，切实减轻被执行企业负担，助力更多民营企业、中小微企业发展，降低对企业生产经营的不利影响。针对涉企又涉民生的执行案件，要求强化财产查控措施，加快办案进度，对被执行企业审慎使用强制执行手段，有财产可供执行的案件应结尽结，被执行人无履行能力的加大司法救助，保障弱势群体的正常生活秩序，让执行工作更有温度，以实际行动为人民群众排忧解难</w:t>
      </w:r>
      <w:r>
        <w:rPr>
          <w:rFonts w:hint="eastAsia" w:ascii="仿宋" w:hAnsi="仿宋" w:eastAsia="仿宋" w:cs="宋体"/>
          <w:kern w:val="0"/>
          <w:sz w:val="32"/>
          <w:szCs w:val="32"/>
          <w:lang w:eastAsia="zh-CN"/>
        </w:rPr>
        <w:t>。</w:t>
      </w:r>
    </w:p>
    <w:p>
      <w:pPr>
        <w:keepNext w:val="0"/>
        <w:keepLines w:val="0"/>
        <w:pageBreakBefore w:val="0"/>
        <w:widowControl w:val="0"/>
        <w:kinsoku/>
        <w:wordWrap w:val="0"/>
        <w:overflowPunct/>
        <w:topLinePunct/>
        <w:autoSpaceDE/>
        <w:autoSpaceDN/>
        <w:bidi w:val="0"/>
        <w:adjustRightInd/>
        <w:snapToGrid/>
        <w:ind w:firstLine="660"/>
        <w:jc w:val="left"/>
        <w:textAlignment w:val="auto"/>
        <w:rPr>
          <w:rFonts w:hint="eastAsia" w:asciiTheme="majorEastAsia" w:hAnsiTheme="majorEastAsia" w:eastAsiaTheme="majorEastAsia"/>
          <w:sz w:val="32"/>
          <w:szCs w:val="32"/>
          <w:lang w:eastAsia="zh-CN"/>
        </w:rPr>
      </w:pPr>
    </w:p>
    <w:p>
      <w:pPr>
        <w:widowControl/>
        <w:topLinePunct/>
        <w:spacing w:line="560" w:lineRule="exact"/>
        <w:jc w:val="center"/>
        <w:outlineLvl w:val="0"/>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和龙林区基层法院</w:t>
      </w:r>
    </w:p>
    <w:p>
      <w:pPr>
        <w:widowControl/>
        <w:topLinePunct/>
        <w:spacing w:line="560" w:lineRule="exact"/>
        <w:jc w:val="center"/>
        <w:outlineLvl w:val="0"/>
        <w:rPr>
          <w:rFonts w:hint="eastAsia" w:asciiTheme="majorEastAsia" w:hAnsiTheme="majorEastAsia" w:eastAsiaTheme="majorEastAsia" w:cstheme="majorEastAsia"/>
          <w:kern w:val="0"/>
          <w:sz w:val="44"/>
          <w:szCs w:val="44"/>
        </w:rPr>
      </w:pPr>
      <w:r>
        <w:rPr>
          <w:rFonts w:hint="eastAsia" w:asciiTheme="majorEastAsia" w:hAnsiTheme="majorEastAsia" w:eastAsiaTheme="majorEastAsia" w:cstheme="majorEastAsia"/>
          <w:kern w:val="0"/>
          <w:sz w:val="44"/>
          <w:szCs w:val="44"/>
        </w:rPr>
        <w:t>执行裁定书</w:t>
      </w:r>
    </w:p>
    <w:p>
      <w:pPr>
        <w:widowControl/>
        <w:topLinePunct/>
        <w:spacing w:line="560" w:lineRule="exact"/>
        <w:ind w:firstLine="200"/>
        <w:jc w:val="right"/>
        <w:rPr>
          <w:rFonts w:ascii="仿宋" w:hAnsi="仿宋" w:eastAsia="仿宋" w:cs="宋体"/>
          <w:kern w:val="0"/>
          <w:sz w:val="32"/>
          <w:szCs w:val="32"/>
        </w:rPr>
      </w:pPr>
    </w:p>
    <w:p>
      <w:pPr>
        <w:wordWrap w:val="0"/>
        <w:topLinePunct/>
        <w:spacing w:line="480" w:lineRule="exact"/>
        <w:jc w:val="right"/>
        <w:rPr>
          <w:rFonts w:ascii="仿宋" w:hAnsi="仿宋" w:eastAsia="仿宋" w:cs="宋体"/>
          <w:kern w:val="0"/>
          <w:sz w:val="32"/>
          <w:szCs w:val="32"/>
        </w:rPr>
      </w:pPr>
      <w:r>
        <w:rPr>
          <w:rFonts w:ascii="仿宋" w:hAnsi="仿宋" w:eastAsia="仿宋" w:cs="宋体"/>
          <w:kern w:val="0"/>
          <w:sz w:val="32"/>
          <w:szCs w:val="32"/>
        </w:rPr>
        <w:t>(2021)吉7502执28号</w:t>
      </w:r>
    </w:p>
    <w:p>
      <w:pPr>
        <w:wordWrap w:val="0"/>
        <w:topLinePunct/>
        <w:spacing w:line="480" w:lineRule="exact"/>
        <w:jc w:val="right"/>
        <w:rPr>
          <w:rFonts w:ascii="仿宋" w:hAnsi="仿宋" w:eastAsia="仿宋" w:cs="宋体"/>
          <w:kern w:val="0"/>
          <w:sz w:val="32"/>
          <w:szCs w:val="32"/>
        </w:rPr>
      </w:pPr>
    </w:p>
    <w:p>
      <w:pPr>
        <w:wordWrap w:val="0"/>
        <w:topLinePunct/>
        <w:adjustRightInd w:val="0"/>
        <w:spacing w:line="6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申请执行人：米秋林，男，1962年7月3日出生，汉族，住吉林省和龙市八家子镇古洞河社区古洞河林场一组，公民身份号码：222423196207037510。</w:t>
      </w:r>
    </w:p>
    <w:p>
      <w:pPr>
        <w:wordWrap w:val="0"/>
        <w:topLinePunct/>
        <w:adjustRightInd w:val="0"/>
        <w:spacing w:line="6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被执行人：</w:t>
      </w:r>
      <w:r>
        <w:rPr>
          <w:rFonts w:ascii="仿宋" w:hAnsi="仿宋" w:eastAsia="仿宋" w:cs="??"/>
          <w:color w:val="000000"/>
          <w:spacing w:val="-4"/>
          <w:kern w:val="0"/>
          <w:sz w:val="32"/>
          <w:szCs w:val="32"/>
        </w:rPr>
        <w:t>中铁十九局集团第二工程有限公司，住所地：辽宁省辽阳市白塔区和平路17号</w:t>
      </w:r>
      <w:r>
        <w:rPr>
          <w:rFonts w:ascii="仿宋" w:hAnsi="仿宋" w:eastAsia="仿宋" w:cs="宋体"/>
          <w:kern w:val="0"/>
          <w:sz w:val="32"/>
          <w:szCs w:val="32"/>
        </w:rPr>
        <w:t>。</w:t>
      </w:r>
    </w:p>
    <w:p>
      <w:pPr>
        <w:wordWrap w:val="0"/>
        <w:topLinePunct/>
        <w:adjustRightInd w:val="0"/>
        <w:spacing w:line="64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法定代表人：解佳飞，该公司董事长。</w:t>
      </w:r>
    </w:p>
    <w:p>
      <w:pPr>
        <w:wordWrap w:val="0"/>
        <w:topLinePunct/>
        <w:spacing w:line="640" w:lineRule="exact"/>
        <w:ind w:firstLine="640" w:firstLineChars="200"/>
        <w:rPr>
          <w:rFonts w:ascii="仿宋_GB2312" w:hAnsi="仿宋" w:eastAsia="仿宋_GB2312"/>
          <w:sz w:val="32"/>
          <w:szCs w:val="32"/>
        </w:rPr>
      </w:pPr>
      <w:r>
        <w:rPr>
          <w:rFonts w:ascii="仿宋" w:hAnsi="仿宋" w:eastAsia="仿宋" w:cs="宋体"/>
          <w:kern w:val="0"/>
          <w:sz w:val="32"/>
          <w:szCs w:val="32"/>
        </w:rPr>
        <w:t>本院在执行</w:t>
      </w:r>
      <w:r>
        <w:rPr>
          <w:rFonts w:ascii="仿宋" w:hAnsi="仿宋" w:eastAsia="仿宋" w:cs="??"/>
          <w:color w:val="000000"/>
          <w:spacing w:val="-4"/>
          <w:kern w:val="0"/>
          <w:sz w:val="32"/>
          <w:szCs w:val="32"/>
        </w:rPr>
        <w:t>申请执行人米秋林与被执行人中铁十九局集团第二工程有限公司财产损害赔偿纠纷</w:t>
      </w:r>
      <w:r>
        <w:rPr>
          <w:rFonts w:ascii="仿宋" w:hAnsi="仿宋" w:eastAsia="仿宋" w:cs="宋体"/>
          <w:kern w:val="0"/>
          <w:sz w:val="32"/>
          <w:szCs w:val="32"/>
        </w:rPr>
        <w:t>一案中，</w:t>
      </w:r>
      <w:r>
        <w:rPr>
          <w:rFonts w:ascii="仿宋_GB2312" w:hAnsi="仿宋" w:eastAsia="仿宋_GB2312"/>
          <w:sz w:val="32"/>
          <w:szCs w:val="32"/>
        </w:rPr>
        <w:t>延边林区中级法院于2020年12月30日作出</w:t>
      </w:r>
      <w:r>
        <w:rPr>
          <w:rFonts w:ascii="仿宋_GB2312" w:eastAsia="仿宋_GB2312"/>
          <w:sz w:val="32"/>
          <w:szCs w:val="32"/>
        </w:rPr>
        <w:t>（2020）吉75民终67号民事判决书，</w:t>
      </w:r>
      <w:r>
        <w:rPr>
          <w:rFonts w:ascii="仿宋_GB2312" w:hAnsi="仿宋" w:eastAsia="仿宋_GB2312"/>
          <w:sz w:val="32"/>
          <w:szCs w:val="32"/>
        </w:rPr>
        <w:t>已经发生法律效力。申请执行人</w:t>
      </w:r>
      <w:r>
        <w:rPr>
          <w:rFonts w:ascii="仿宋_GB2312" w:eastAsia="仿宋_GB2312" w:cs="FangSong"/>
          <w:kern w:val="0"/>
          <w:sz w:val="32"/>
          <w:szCs w:val="32"/>
        </w:rPr>
        <w:t>米秋林</w:t>
      </w:r>
      <w:r>
        <w:rPr>
          <w:rFonts w:ascii="仿宋_GB2312" w:hAnsi="仿宋" w:eastAsia="仿宋_GB2312"/>
          <w:sz w:val="32"/>
          <w:szCs w:val="32"/>
        </w:rPr>
        <w:t>于2021年10月14日向本院申请执行,要求被执行人</w:t>
      </w:r>
      <w:r>
        <w:rPr>
          <w:rFonts w:ascii="仿宋" w:hAnsi="仿宋" w:eastAsia="仿宋" w:cs="??"/>
          <w:color w:val="000000"/>
          <w:spacing w:val="-4"/>
          <w:kern w:val="0"/>
          <w:sz w:val="32"/>
          <w:szCs w:val="32"/>
        </w:rPr>
        <w:t>中铁十九局集团第二工程有限公司赔偿养殖林蛙损失款369918</w:t>
      </w:r>
      <w:r>
        <w:rPr>
          <w:rFonts w:ascii="仿宋_GB2312" w:eastAsia="仿宋_GB2312" w:cs="FangSong"/>
          <w:kern w:val="0"/>
          <w:sz w:val="32"/>
          <w:szCs w:val="32"/>
        </w:rPr>
        <w:t>元及迟延履行期间的债务利息，案件受理费24580元，申请执行费5449元。</w:t>
      </w:r>
      <w:r>
        <w:rPr>
          <w:rFonts w:ascii="仿宋_GB2312" w:hAnsi="仿宋" w:eastAsia="仿宋_GB2312"/>
          <w:sz w:val="32"/>
          <w:szCs w:val="32"/>
        </w:rPr>
        <w:t>经审查，符合立案条件，本院于同日立案执行。</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本院在执行过程中，依法采取了下列执行措施：</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一、于2021年10月14日,向申请执行人米秋林送达了受理案件通知书、提供被执行人财产状况通知书、合议庭组成人员通知书、当事人权利义务须知、廉政监督卡；同日，向被执行人</w:t>
      </w:r>
      <w:r>
        <w:rPr>
          <w:rFonts w:ascii="仿宋" w:hAnsi="仿宋" w:eastAsia="仿宋" w:cs="??"/>
          <w:color w:val="000000"/>
          <w:spacing w:val="-4"/>
          <w:kern w:val="0"/>
          <w:sz w:val="32"/>
          <w:szCs w:val="32"/>
        </w:rPr>
        <w:t>中铁十九局集团第二工程有限公司邮寄</w:t>
      </w:r>
      <w:r>
        <w:rPr>
          <w:rFonts w:ascii="仿宋_GB2312" w:hAnsi="仿宋" w:eastAsia="仿宋_GB2312"/>
          <w:sz w:val="32"/>
          <w:szCs w:val="32"/>
        </w:rPr>
        <w:t>送达了执行通知书、报告财产令（财产申报表）、合议庭组成人员通知书、风险提示、当事人权利义务须知、廉政监督卡等法律文书。</w:t>
      </w:r>
    </w:p>
    <w:p>
      <w:pPr>
        <w:wordWrap w:val="0"/>
        <w:spacing w:line="640" w:lineRule="exact"/>
        <w:ind w:firstLine="640" w:firstLineChars="200"/>
        <w:rPr>
          <w:rFonts w:ascii="仿宋_GB2312" w:hAnsi="仿宋" w:eastAsia="仿宋_GB2312"/>
          <w:sz w:val="32"/>
          <w:szCs w:val="32"/>
        </w:rPr>
      </w:pPr>
      <w:r>
        <w:rPr>
          <w:rFonts w:ascii="仿宋_GB2312" w:hAnsi="仿宋" w:eastAsia="仿宋_GB2312"/>
          <w:sz w:val="32"/>
          <w:szCs w:val="32"/>
        </w:rPr>
        <w:t>二、于同年10月14日、11月22日，通过网络查控系统查询被执行人</w:t>
      </w:r>
      <w:r>
        <w:rPr>
          <w:rFonts w:ascii="仿宋" w:hAnsi="仿宋" w:eastAsia="仿宋" w:cs="??"/>
          <w:color w:val="000000"/>
          <w:spacing w:val="-4"/>
          <w:kern w:val="0"/>
          <w:sz w:val="32"/>
          <w:szCs w:val="32"/>
        </w:rPr>
        <w:t>中铁十九局集团第二工程有限公司</w:t>
      </w:r>
      <w:r>
        <w:rPr>
          <w:rFonts w:ascii="仿宋_GB2312" w:hAnsi="Times New Roman" w:eastAsia="仿宋_GB2312" w:cs="宋体"/>
          <w:sz w:val="32"/>
          <w:szCs w:val="32"/>
        </w:rPr>
        <w:t>车辆、证券、互联网银行、自然资源部、银行存款、保险</w:t>
      </w:r>
      <w:r>
        <w:rPr>
          <w:rFonts w:ascii="仿宋_GB2312" w:hAnsi="仿宋" w:eastAsia="仿宋_GB2312"/>
          <w:sz w:val="32"/>
          <w:szCs w:val="32"/>
        </w:rPr>
        <w:t>等信息。</w:t>
      </w:r>
      <w:r>
        <w:rPr>
          <w:rFonts w:ascii="仿宋" w:hAnsi="仿宋" w:eastAsia="仿宋"/>
          <w:sz w:val="32"/>
          <w:szCs w:val="32"/>
        </w:rPr>
        <w:t>经查，被执行人中铁十九局集团第二工程有限公司名下银行账户均已被其他法院轮候冻结中，另有保证金账户及农民工工资专用账户无法执行。被执行人中铁十九局集团第二工程有限公司名下有车辆，申请执行人表示，因被执行人名下车辆在外省市，待找到实际车辆后再进入评估拍卖程序</w:t>
      </w:r>
      <w:r>
        <w:rPr>
          <w:rFonts w:ascii="仿宋" w:hAnsi="仿宋" w:eastAsia="仿宋" w:cs="宋体"/>
          <w:kern w:val="0"/>
          <w:sz w:val="32"/>
          <w:szCs w:val="32"/>
        </w:rPr>
        <w:t>。</w:t>
      </w:r>
    </w:p>
    <w:p>
      <w:pPr>
        <w:wordWrap w:val="0"/>
        <w:spacing w:line="640" w:lineRule="exact"/>
        <w:ind w:firstLine="640" w:firstLineChars="200"/>
        <w:rPr>
          <w:rFonts w:ascii="仿宋_GB2312" w:hAnsi="仿宋" w:eastAsia="仿宋_GB2312"/>
          <w:sz w:val="32"/>
          <w:szCs w:val="32"/>
        </w:rPr>
      </w:pPr>
      <w:r>
        <w:rPr>
          <w:rFonts w:ascii="仿宋_GB2312" w:hAnsi="仿宋" w:eastAsia="仿宋_GB2312"/>
          <w:sz w:val="32"/>
          <w:szCs w:val="32"/>
        </w:rPr>
        <w:t>三、于同年12月7日，进行了传统查控，委托辽阳市文圣区人民法院查询被执行人</w:t>
      </w:r>
      <w:r>
        <w:rPr>
          <w:rFonts w:ascii="仿宋" w:hAnsi="仿宋" w:eastAsia="仿宋"/>
          <w:sz w:val="32"/>
          <w:szCs w:val="32"/>
        </w:rPr>
        <w:t>中铁十九局集团第二工程有限公司</w:t>
      </w:r>
      <w:r>
        <w:rPr>
          <w:rFonts w:ascii="仿宋_GB2312" w:hAnsi="仿宋" w:eastAsia="仿宋_GB2312"/>
          <w:sz w:val="32"/>
          <w:szCs w:val="32"/>
        </w:rPr>
        <w:t>名下财产情况。经查，被执行人</w:t>
      </w:r>
      <w:r>
        <w:rPr>
          <w:rFonts w:ascii="仿宋" w:hAnsi="仿宋" w:eastAsia="仿宋"/>
          <w:sz w:val="32"/>
          <w:szCs w:val="32"/>
        </w:rPr>
        <w:t>中铁十九局集团第二工程有限公司</w:t>
      </w:r>
      <w:r>
        <w:rPr>
          <w:rFonts w:ascii="仿宋_GB2312" w:hAnsi="仿宋" w:eastAsia="仿宋_GB2312"/>
          <w:sz w:val="32"/>
          <w:szCs w:val="32"/>
        </w:rPr>
        <w:t>名下</w:t>
      </w:r>
      <w:r>
        <w:rPr>
          <w:rFonts w:ascii="仿宋" w:hAnsi="仿宋" w:eastAsia="仿宋"/>
          <w:sz w:val="32"/>
          <w:szCs w:val="32"/>
        </w:rPr>
        <w:t>位于辽阳市太子河区南郊街135号有8处房产：①权证号：00131142，建筑面积29.65平方米；②权证号：00131141，建筑面积36.72平方米；③权证号：00131140，建筑面积73.15平方米；④权证号：00131137，建筑面积136.53平方米；⑤权证号：00131138，建筑面积：141.6平方米；⑥权证号：00131144，建筑面积315.4平方米；⑦权证号：00131145，建筑面积1067.31平方米；⑧权证号：00131143，建筑面积1163.73平方米。位于辽阳市太子河区曙光乡四里庄有3处房产：①权证号：00131136，建筑面积408.8平方米；②权证号：00131134，建筑面积211平方米；③权证号：00131133，建筑面积55.9平方米。位于辽阳市太子河区曙光村有1处房产：①</w:t>
      </w:r>
      <w:r>
        <w:rPr>
          <w:rFonts w:ascii="仿宋_GB2312" w:hAnsi="仿宋" w:eastAsia="仿宋_GB2312"/>
          <w:sz w:val="32"/>
          <w:szCs w:val="32"/>
        </w:rPr>
        <w:t>权证号：00131139，建筑面积126平方米</w:t>
      </w:r>
      <w:r>
        <w:rPr>
          <w:rFonts w:ascii="仿宋" w:hAnsi="仿宋" w:eastAsia="仿宋"/>
          <w:sz w:val="32"/>
          <w:szCs w:val="32"/>
        </w:rPr>
        <w:t>。申请执行人表示，因被执行人名下多处房产在外省市，待到当地实际核实以后再决定进入评估拍卖程序的房产。</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四、于同年12月15日，根据申请执行人的申请，将被执行人</w:t>
      </w:r>
      <w:r>
        <w:rPr>
          <w:rFonts w:ascii="仿宋" w:hAnsi="仿宋" w:eastAsia="仿宋" w:cs="??"/>
          <w:color w:val="000000"/>
          <w:spacing w:val="-4"/>
          <w:kern w:val="0"/>
          <w:sz w:val="32"/>
          <w:szCs w:val="32"/>
        </w:rPr>
        <w:t>中铁十九局集团第二工程有限公司</w:t>
      </w:r>
      <w:r>
        <w:rPr>
          <w:rFonts w:ascii="仿宋_GB2312" w:hAnsi="仿宋" w:eastAsia="仿宋_GB2312"/>
          <w:sz w:val="32"/>
          <w:szCs w:val="32"/>
        </w:rPr>
        <w:t>采取限制高消费措施。</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五、于同年12月15日，对申请执行人米秋林进行终本约谈并制作终本笔录，申请执行人同意终结本次执行程序。</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本院认为：在本院穷尽执行措施后，暂未发现被执行人有可供执行的财产，可以认定被执行人暂不具备履行生效法律文书确定的法律义务的能力。本院已向申请执行人告知上述执行情况。依照《最高人民法院关于适用&lt;中华人民共和国民事诉讼法&gt;的解释》第五百一十九条、最高人民法院《关于严格规范终结本次执行程序的规定（试行）》第七条之规定，裁定如下：</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终结本次执行程序。</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终结本次执行程序后，申请执行人发现被执行人有可供执行财产的，可以向本院申请恢复执行。再次申请不受申请执行时效期间的限制。</w:t>
      </w:r>
    </w:p>
    <w:p>
      <w:pPr>
        <w:wordWrap w:val="0"/>
        <w:topLinePunct/>
        <w:spacing w:line="640" w:lineRule="exact"/>
        <w:ind w:firstLine="640" w:firstLineChars="200"/>
        <w:rPr>
          <w:rFonts w:ascii="仿宋_GB2312" w:hAnsi="仿宋" w:eastAsia="仿宋_GB2312"/>
          <w:sz w:val="32"/>
          <w:szCs w:val="32"/>
        </w:rPr>
      </w:pPr>
      <w:r>
        <w:rPr>
          <w:rFonts w:ascii="仿宋_GB2312" w:hAnsi="仿宋" w:eastAsia="仿宋_GB2312"/>
          <w:sz w:val="32"/>
          <w:szCs w:val="32"/>
        </w:rPr>
        <w:t>本裁定送达后即发生法律效力。如不服本裁定，可自本裁定书送达之日起十日内，向本院提出书面执行异议。</w:t>
      </w:r>
    </w:p>
    <w:p>
      <w:pPr>
        <w:wordWrap w:val="0"/>
        <w:topLinePunct/>
        <w:spacing w:line="640" w:lineRule="exact"/>
        <w:ind w:firstLine="640" w:firstLineChars="200"/>
        <w:rPr>
          <w:rFonts w:ascii="仿宋_GB2312" w:hAnsi="仿宋" w:eastAsia="仿宋_GB2312"/>
          <w:sz w:val="32"/>
          <w:szCs w:val="32"/>
        </w:rPr>
      </w:pPr>
    </w:p>
    <w:p>
      <w:pPr>
        <w:wordWrap w:val="0"/>
        <w:topLinePunct/>
        <w:spacing w:line="640" w:lineRule="exact"/>
        <w:ind w:firstLine="640" w:firstLineChars="200"/>
        <w:rPr>
          <w:rFonts w:ascii="仿宋_GB2312" w:hAnsi="仿宋" w:eastAsia="仿宋_GB2312"/>
          <w:sz w:val="32"/>
          <w:szCs w:val="32"/>
        </w:rPr>
      </w:pPr>
    </w:p>
    <w:p>
      <w:pPr>
        <w:wordWrap w:val="0"/>
        <w:topLinePunct/>
        <w:spacing w:line="640" w:lineRule="exact"/>
        <w:ind w:firstLine="640" w:firstLineChars="200"/>
        <w:rPr>
          <w:rFonts w:ascii="仿宋_GB2312" w:hAnsi="仿宋" w:eastAsia="仿宋_GB2312"/>
          <w:sz w:val="32"/>
          <w:szCs w:val="32"/>
        </w:rPr>
      </w:pPr>
    </w:p>
    <w:p>
      <w:pPr>
        <w:wordWrap w:val="0"/>
        <w:topLinePunct/>
        <w:spacing w:line="640" w:lineRule="exact"/>
        <w:ind w:firstLine="640" w:firstLineChars="200"/>
        <w:jc w:val="right"/>
        <w:rPr>
          <w:rFonts w:ascii="仿宋_GB2312" w:hAnsi="仿宋" w:eastAsia="仿宋_GB2312"/>
          <w:sz w:val="32"/>
          <w:szCs w:val="32"/>
        </w:rPr>
      </w:pPr>
    </w:p>
    <w:p>
      <w:pPr>
        <w:wordWrap w:val="0"/>
        <w:topLinePunct/>
        <w:spacing w:line="640" w:lineRule="exact"/>
        <w:ind w:firstLine="640" w:firstLineChars="200"/>
        <w:jc w:val="right"/>
        <w:rPr>
          <w:rFonts w:ascii="仿宋_GB2312" w:hAnsi="仿宋" w:eastAsia="仿宋_GB2312"/>
          <w:sz w:val="32"/>
          <w:szCs w:val="32"/>
        </w:rPr>
      </w:pPr>
      <w:r>
        <w:rPr>
          <w:rFonts w:ascii="仿宋_GB2312" w:hAnsi="仿宋" w:eastAsia="仿宋_GB2312"/>
          <w:sz w:val="32"/>
          <w:szCs w:val="32"/>
        </w:rPr>
        <w:t>审  判  长    高红梅</w:t>
      </w:r>
    </w:p>
    <w:p>
      <w:pPr>
        <w:wordWrap w:val="0"/>
        <w:topLinePunct/>
        <w:spacing w:line="640" w:lineRule="exact"/>
        <w:ind w:firstLine="640" w:firstLineChars="200"/>
        <w:jc w:val="right"/>
        <w:rPr>
          <w:rFonts w:ascii="仿宋_GB2312" w:hAnsi="仿宋" w:eastAsia="仿宋_GB2312"/>
          <w:sz w:val="32"/>
          <w:szCs w:val="32"/>
        </w:rPr>
      </w:pPr>
      <w:r>
        <w:rPr>
          <w:rFonts w:ascii="仿宋_GB2312" w:hAnsi="仿宋" w:eastAsia="仿宋_GB2312"/>
          <w:sz w:val="32"/>
          <w:szCs w:val="32"/>
        </w:rPr>
        <w:t>审  判  员    盛永钢</w:t>
      </w:r>
    </w:p>
    <w:p>
      <w:pPr>
        <w:wordWrap w:val="0"/>
        <w:topLinePunct/>
        <w:spacing w:line="640" w:lineRule="exact"/>
        <w:ind w:firstLine="640" w:firstLineChars="200"/>
        <w:jc w:val="right"/>
        <w:rPr>
          <w:rFonts w:ascii="仿宋_GB2312" w:hAnsi="仿宋" w:eastAsia="仿宋_GB2312"/>
          <w:sz w:val="32"/>
          <w:szCs w:val="32"/>
        </w:rPr>
      </w:pPr>
      <w:r>
        <w:rPr>
          <w:rFonts w:ascii="仿宋_GB2312" w:hAnsi="仿宋" w:eastAsia="仿宋_GB2312"/>
          <w:sz w:val="32"/>
          <w:szCs w:val="32"/>
        </w:rPr>
        <w:t>审  判  员    刘玉田</w:t>
      </w:r>
    </w:p>
    <w:p>
      <w:pPr>
        <w:wordWrap w:val="0"/>
        <w:topLinePunct/>
        <w:spacing w:line="640" w:lineRule="exact"/>
        <w:ind w:firstLine="640" w:firstLineChars="200"/>
        <w:jc w:val="right"/>
        <w:rPr>
          <w:rFonts w:ascii="仿宋_GB2312" w:hAnsi="仿宋" w:eastAsia="仿宋_GB2312"/>
          <w:sz w:val="32"/>
          <w:szCs w:val="32"/>
        </w:rPr>
      </w:pPr>
    </w:p>
    <w:p>
      <w:pPr>
        <w:wordWrap w:val="0"/>
        <w:topLinePunct/>
        <w:spacing w:line="640" w:lineRule="exact"/>
        <w:ind w:firstLine="640" w:firstLineChars="200"/>
        <w:jc w:val="right"/>
        <w:rPr>
          <w:rFonts w:ascii="仿宋_GB2312" w:hAnsi="仿宋" w:eastAsia="仿宋_GB2312"/>
          <w:sz w:val="32"/>
          <w:szCs w:val="32"/>
        </w:rPr>
      </w:pPr>
      <w:r>
        <w:rPr>
          <w:rFonts w:ascii="仿宋_GB2312" w:hAnsi="仿宋" w:eastAsia="仿宋_GB2312"/>
          <w:sz w:val="32"/>
          <w:szCs w:val="32"/>
        </w:rPr>
        <w:t>二〇二一年十二月十五日</w:t>
      </w:r>
    </w:p>
    <w:p>
      <w:pPr>
        <w:wordWrap w:val="0"/>
        <w:topLinePunct/>
        <w:spacing w:line="640" w:lineRule="exact"/>
        <w:ind w:firstLine="640" w:firstLineChars="200"/>
        <w:jc w:val="right"/>
        <w:rPr>
          <w:rFonts w:ascii="仿宋_GB2312" w:hAnsi="仿宋" w:eastAsia="仿宋_GB2312"/>
          <w:sz w:val="32"/>
          <w:szCs w:val="32"/>
        </w:rPr>
      </w:pPr>
    </w:p>
    <w:p>
      <w:pPr>
        <w:wordWrap w:val="0"/>
        <w:topLinePunct/>
        <w:spacing w:line="640" w:lineRule="exact"/>
        <w:ind w:firstLine="640" w:firstLineChars="200"/>
        <w:jc w:val="right"/>
        <w:rPr>
          <w:rFonts w:ascii="仿宋_GB2312" w:hAnsi="仿宋" w:eastAsia="仿宋_GB2312"/>
          <w:sz w:val="32"/>
          <w:szCs w:val="32"/>
        </w:rPr>
      </w:pPr>
      <w:r>
        <w:rPr>
          <w:rFonts w:ascii="仿宋_GB2312" w:hAnsi="仿宋" w:eastAsia="仿宋_GB2312"/>
          <w:sz w:val="32"/>
          <w:szCs w:val="32"/>
        </w:rPr>
        <w:t>书  记  员    张  巍</w:t>
      </w:r>
    </w:p>
    <w:p>
      <w:pPr>
        <w:wordWrap w:val="0"/>
        <w:topLinePunct/>
        <w:spacing w:line="640" w:lineRule="exact"/>
        <w:ind w:firstLine="640" w:firstLineChars="200"/>
        <w:jc w:val="right"/>
        <w:rPr>
          <w:rFonts w:hint="default" w:ascii="仿宋_GB2312" w:hAnsi="仿宋" w:eastAsia="仿宋_GB2312"/>
          <w:sz w:val="32"/>
          <w:szCs w:val="32"/>
        </w:rPr>
      </w:pPr>
    </w:p>
    <w:p>
      <w:pPr>
        <w:keepNext w:val="0"/>
        <w:keepLines w:val="0"/>
        <w:pageBreakBefore w:val="0"/>
        <w:widowControl w:val="0"/>
        <w:kinsoku/>
        <w:wordWrap w:val="0"/>
        <w:overflowPunct/>
        <w:topLinePunct/>
        <w:autoSpaceDE/>
        <w:autoSpaceDN/>
        <w:bidi w:val="0"/>
        <w:adjustRightInd/>
        <w:snapToGrid/>
        <w:jc w:val="left"/>
        <w:textAlignment w:val="auto"/>
        <w:rPr>
          <w:rFonts w:hint="default" w:asciiTheme="majorEastAsia" w:hAnsiTheme="majorEastAsia" w:eastAsiaTheme="majorEastAsia"/>
          <w:sz w:val="32"/>
          <w:szCs w:val="32"/>
          <w:lang w:val="en-US" w:eastAsia="zh-CN"/>
        </w:rPr>
      </w:pPr>
    </w:p>
    <w:p>
      <w:pPr>
        <w:keepNext w:val="0"/>
        <w:keepLines w:val="0"/>
        <w:pageBreakBefore w:val="0"/>
        <w:widowControl w:val="0"/>
        <w:kinsoku/>
        <w:wordWrap w:val="0"/>
        <w:overflowPunct/>
        <w:topLinePunct/>
        <w:autoSpaceDE/>
        <w:autoSpaceDN/>
        <w:bidi w:val="0"/>
        <w:adjustRightInd/>
        <w:snapToGrid/>
        <w:jc w:val="left"/>
        <w:textAlignment w:val="auto"/>
        <w:rPr>
          <w:rFonts w:hint="default" w:asciiTheme="majorEastAsia" w:hAnsiTheme="majorEastAsia" w:eastAsiaTheme="majorEastAsia"/>
          <w:sz w:val="32"/>
          <w:szCs w:val="32"/>
          <w:lang w:val="en-US" w:eastAsia="zh-CN"/>
        </w:rPr>
      </w:pPr>
    </w:p>
    <w:p>
      <w:pPr>
        <w:keepNext w:val="0"/>
        <w:keepLines w:val="0"/>
        <w:pageBreakBefore w:val="0"/>
        <w:widowControl w:val="0"/>
        <w:kinsoku/>
        <w:wordWrap w:val="0"/>
        <w:overflowPunct/>
        <w:topLinePunct/>
        <w:autoSpaceDE/>
        <w:autoSpaceDN/>
        <w:bidi w:val="0"/>
        <w:adjustRightInd/>
        <w:snapToGrid/>
        <w:jc w:val="left"/>
        <w:textAlignment w:val="auto"/>
        <w:rPr>
          <w:rFonts w:hint="default" w:asciiTheme="majorEastAsia" w:hAnsiTheme="majorEastAsia" w:eastAsiaTheme="majorEastAsia"/>
          <w:sz w:val="32"/>
          <w:szCs w:val="32"/>
          <w:lang w:val="en-US" w:eastAsia="zh-CN"/>
        </w:rPr>
      </w:pPr>
    </w:p>
    <w:p>
      <w:pPr>
        <w:widowControl/>
        <w:topLinePunct/>
        <w:adjustRightInd w:val="0"/>
        <w:snapToGrid w:val="0"/>
        <w:spacing w:line="520" w:lineRule="exact"/>
        <w:jc w:val="center"/>
        <w:outlineLvl w:val="0"/>
        <w:rPr>
          <w:rFonts w:hint="eastAsia" w:asciiTheme="majorEastAsia" w:hAnsiTheme="majorEastAsia" w:eastAsiaTheme="majorEastAsia" w:cstheme="majorEastAsia"/>
          <w:color w:val="000000"/>
          <w:sz w:val="44"/>
          <w:szCs w:val="44"/>
        </w:rPr>
      </w:pPr>
      <w:r>
        <w:rPr>
          <w:rFonts w:hint="eastAsia" w:asciiTheme="majorEastAsia" w:hAnsiTheme="majorEastAsia" w:eastAsiaTheme="majorEastAsia" w:cstheme="majorEastAsia"/>
          <w:color w:val="000000"/>
          <w:sz w:val="44"/>
          <w:szCs w:val="44"/>
        </w:rPr>
        <w:t>和龙林区基层法院</w:t>
      </w:r>
    </w:p>
    <w:p>
      <w:pPr>
        <w:widowControl/>
        <w:topLinePunct/>
        <w:adjustRightInd w:val="0"/>
        <w:snapToGrid w:val="0"/>
        <w:spacing w:line="520" w:lineRule="exact"/>
        <w:jc w:val="center"/>
        <w:outlineLvl w:val="0"/>
        <w:rPr>
          <w:rFonts w:ascii="仿宋" w:hAnsi="Times New Roman" w:eastAsia="仿宋" w:cs="宋体"/>
          <w:color w:val="000000"/>
          <w:szCs w:val="44"/>
        </w:rPr>
      </w:pPr>
      <w:r>
        <w:rPr>
          <w:rFonts w:hint="eastAsia" w:asciiTheme="majorEastAsia" w:hAnsiTheme="majorEastAsia" w:eastAsiaTheme="majorEastAsia" w:cstheme="majorEastAsia"/>
          <w:color w:val="000000"/>
          <w:sz w:val="44"/>
          <w:szCs w:val="44"/>
        </w:rPr>
        <w:t>执行结案通知书</w:t>
      </w:r>
    </w:p>
    <w:p>
      <w:pPr>
        <w:wordWrap w:val="0"/>
        <w:spacing w:line="640" w:lineRule="exact"/>
        <w:ind w:firstLine="4800" w:firstLineChars="15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）吉7502执恢1号</w:t>
      </w:r>
    </w:p>
    <w:p>
      <w:pPr>
        <w:wordWrap w:val="0"/>
        <w:spacing w:line="640" w:lineRule="exact"/>
        <w:ind w:firstLine="640" w:firstLineChars="200"/>
        <w:rPr>
          <w:rFonts w:ascii="仿宋" w:hAnsi="仿宋" w:eastAsia="仿宋"/>
          <w:sz w:val="32"/>
          <w:szCs w:val="32"/>
        </w:rPr>
      </w:pPr>
      <w:r>
        <w:rPr>
          <w:rFonts w:hint="eastAsia" w:ascii="仿宋" w:hAnsi="仿宋" w:eastAsia="仿宋"/>
          <w:sz w:val="32"/>
          <w:szCs w:val="32"/>
        </w:rPr>
        <w:t>关于</w:t>
      </w:r>
      <w:r>
        <w:rPr>
          <w:rFonts w:hint="eastAsia" w:ascii="仿宋" w:hAnsi="仿宋" w:eastAsia="仿宋"/>
          <w:sz w:val="32"/>
          <w:szCs w:val="32"/>
          <w:lang w:eastAsia="zh-CN"/>
        </w:rPr>
        <w:t>申请执行人米秋林与被执行人中铁十九局集团第二工程有限公司其他案由</w:t>
      </w:r>
      <w:r>
        <w:rPr>
          <w:rFonts w:hint="eastAsia" w:ascii="仿宋" w:hAnsi="仿宋" w:eastAsia="仿宋"/>
          <w:sz w:val="32"/>
          <w:szCs w:val="32"/>
        </w:rPr>
        <w:t>一案，</w:t>
      </w:r>
      <w:r>
        <w:rPr>
          <w:rFonts w:hint="eastAsia" w:ascii="仿宋" w:hAnsi="仿宋" w:eastAsia="仿宋"/>
          <w:sz w:val="32"/>
          <w:szCs w:val="32"/>
          <w:lang w:eastAsia="zh-CN"/>
        </w:rPr>
        <w:t>吉林省延边林区中级法院</w:t>
      </w:r>
      <w:r>
        <w:rPr>
          <w:rFonts w:hint="eastAsia" w:ascii="仿宋" w:hAnsi="仿宋" w:eastAsia="仿宋"/>
          <w:sz w:val="32"/>
          <w:szCs w:val="32"/>
        </w:rPr>
        <w:t>于202</w:t>
      </w:r>
      <w:r>
        <w:rPr>
          <w:rFonts w:hint="eastAsia" w:ascii="仿宋" w:hAnsi="仿宋" w:eastAsia="仿宋"/>
          <w:sz w:val="32"/>
          <w:szCs w:val="32"/>
          <w:lang w:val="en-US" w:eastAsia="zh-CN"/>
        </w:rPr>
        <w:t>0</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日作出的（2020）吉75民</w:t>
      </w:r>
      <w:r>
        <w:rPr>
          <w:rFonts w:hint="eastAsia" w:ascii="仿宋" w:hAnsi="仿宋" w:eastAsia="仿宋"/>
          <w:sz w:val="32"/>
          <w:szCs w:val="32"/>
          <w:lang w:eastAsia="zh-CN"/>
        </w:rPr>
        <w:t>终</w:t>
      </w:r>
      <w:r>
        <w:rPr>
          <w:rFonts w:hint="eastAsia" w:ascii="仿宋" w:hAnsi="仿宋" w:eastAsia="仿宋"/>
          <w:sz w:val="32"/>
          <w:szCs w:val="32"/>
          <w:lang w:val="en-US" w:eastAsia="zh-CN"/>
        </w:rPr>
        <w:t>67</w:t>
      </w:r>
      <w:r>
        <w:rPr>
          <w:rFonts w:hint="eastAsia" w:ascii="仿宋" w:hAnsi="仿宋" w:eastAsia="仿宋"/>
          <w:sz w:val="32"/>
          <w:szCs w:val="32"/>
        </w:rPr>
        <w:t>号民事</w:t>
      </w:r>
      <w:r>
        <w:rPr>
          <w:rFonts w:hint="eastAsia" w:ascii="仿宋" w:hAnsi="仿宋" w:eastAsia="仿宋"/>
          <w:sz w:val="32"/>
          <w:szCs w:val="32"/>
          <w:lang w:eastAsia="zh-CN"/>
        </w:rPr>
        <w:t>判决</w:t>
      </w:r>
      <w:r>
        <w:rPr>
          <w:rFonts w:hint="eastAsia" w:ascii="仿宋" w:hAnsi="仿宋" w:eastAsia="仿宋"/>
          <w:sz w:val="32"/>
          <w:szCs w:val="32"/>
        </w:rPr>
        <w:t>书，已发生法律效力。经查，被执行人</w:t>
      </w:r>
      <w:r>
        <w:rPr>
          <w:rFonts w:hint="eastAsia" w:ascii="仿宋" w:hAnsi="仿宋" w:eastAsia="仿宋"/>
          <w:sz w:val="32"/>
          <w:szCs w:val="32"/>
          <w:lang w:eastAsia="zh-CN"/>
        </w:rPr>
        <w:t>中铁十九局集团第二工程有限公司</w:t>
      </w:r>
      <w:r>
        <w:rPr>
          <w:rFonts w:hint="eastAsia" w:ascii="仿宋" w:hAnsi="仿宋" w:eastAsia="仿宋"/>
          <w:sz w:val="32"/>
          <w:szCs w:val="32"/>
        </w:rPr>
        <w:t>确无财产可供执行，申请执行人同意终结本次执行程序，本院于</w:t>
      </w: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15</w:t>
      </w:r>
      <w:r>
        <w:rPr>
          <w:rFonts w:hint="eastAsia" w:ascii="仿宋" w:hAnsi="仿宋" w:eastAsia="仿宋"/>
          <w:sz w:val="32"/>
          <w:szCs w:val="32"/>
        </w:rPr>
        <w:t>日作出</w:t>
      </w:r>
      <w:r>
        <w:rPr>
          <w:rFonts w:hint="eastAsia" w:ascii="仿宋" w:hAnsi="仿宋" w:eastAsia="仿宋"/>
          <w:sz w:val="32"/>
          <w:szCs w:val="32"/>
          <w:lang w:eastAsia="zh-CN"/>
        </w:rPr>
        <w:t>（</w:t>
      </w:r>
      <w:r>
        <w:rPr>
          <w:rFonts w:hint="eastAsia" w:ascii="仿宋" w:hAnsi="仿宋" w:eastAsia="仿宋"/>
          <w:sz w:val="32"/>
          <w:szCs w:val="32"/>
          <w:lang w:val="en-US" w:eastAsia="zh-CN"/>
        </w:rPr>
        <w:t>2021</w:t>
      </w:r>
      <w:r>
        <w:rPr>
          <w:rFonts w:hint="eastAsia" w:ascii="仿宋" w:hAnsi="仿宋" w:eastAsia="仿宋"/>
          <w:sz w:val="32"/>
          <w:szCs w:val="32"/>
          <w:lang w:eastAsia="zh-CN"/>
        </w:rPr>
        <w:t>）</w:t>
      </w:r>
      <w:r>
        <w:rPr>
          <w:rFonts w:hint="eastAsia" w:ascii="仿宋" w:hAnsi="仿宋" w:eastAsia="仿宋"/>
          <w:sz w:val="32"/>
          <w:szCs w:val="32"/>
        </w:rPr>
        <w:t>吉7502执28号执行裁定书，裁定终结本次执行程序。</w:t>
      </w:r>
      <w:r>
        <w:rPr>
          <w:rFonts w:hint="eastAsia" w:ascii="仿宋" w:hAnsi="仿宋" w:eastAsia="仿宋"/>
          <w:sz w:val="32"/>
          <w:szCs w:val="32"/>
          <w:lang w:eastAsia="zh-CN"/>
        </w:rPr>
        <w:t>同年</w:t>
      </w:r>
      <w:r>
        <w:rPr>
          <w:rFonts w:hint="eastAsia" w:ascii="仿宋" w:hAnsi="仿宋" w:eastAsia="仿宋"/>
          <w:sz w:val="32"/>
          <w:szCs w:val="32"/>
          <w:lang w:val="en-US" w:eastAsia="zh-CN"/>
        </w:rPr>
        <w:t>12月17日、12月27日，</w:t>
      </w:r>
      <w:r>
        <w:rPr>
          <w:rFonts w:hint="eastAsia" w:ascii="仿宋" w:hAnsi="仿宋" w:eastAsia="仿宋"/>
          <w:sz w:val="32"/>
          <w:szCs w:val="32"/>
        </w:rPr>
        <w:t>被执行人中铁十九局集团第二工程有限公司向本院自动履行</w:t>
      </w:r>
      <w:r>
        <w:rPr>
          <w:rFonts w:hint="eastAsia" w:ascii="仿宋" w:hAnsi="仿宋" w:eastAsia="仿宋"/>
          <w:sz w:val="32"/>
          <w:szCs w:val="32"/>
          <w:lang w:val="en-US" w:eastAsia="zh-CN"/>
        </w:rPr>
        <w:t>421503.97</w:t>
      </w:r>
      <w:r>
        <w:rPr>
          <w:rFonts w:hint="eastAsia" w:ascii="仿宋" w:hAnsi="仿宋" w:eastAsia="仿宋"/>
          <w:sz w:val="32"/>
          <w:szCs w:val="32"/>
        </w:rPr>
        <w:t>元，</w:t>
      </w:r>
      <w:r>
        <w:rPr>
          <w:rFonts w:hint="eastAsia" w:ascii="仿宋" w:hAnsi="仿宋" w:eastAsia="仿宋"/>
          <w:sz w:val="32"/>
          <w:szCs w:val="32"/>
          <w:lang w:eastAsia="zh-CN"/>
        </w:rPr>
        <w:t>本院依职权</w:t>
      </w:r>
      <w:r>
        <w:rPr>
          <w:rFonts w:hint="eastAsia" w:ascii="仿宋" w:hAnsi="仿宋" w:eastAsia="仿宋"/>
          <w:sz w:val="32"/>
          <w:szCs w:val="32"/>
        </w:rPr>
        <w:t>恢复执行。于</w:t>
      </w:r>
      <w:r>
        <w:rPr>
          <w:rFonts w:hint="eastAsia" w:ascii="仿宋" w:hAnsi="仿宋" w:eastAsia="仿宋"/>
          <w:sz w:val="32"/>
          <w:szCs w:val="32"/>
          <w:lang w:val="en-US" w:eastAsia="zh-CN"/>
        </w:rPr>
        <w:t>2022</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13</w:t>
      </w:r>
      <w:r>
        <w:rPr>
          <w:rFonts w:hint="eastAsia" w:ascii="仿宋" w:hAnsi="仿宋" w:eastAsia="仿宋"/>
          <w:sz w:val="32"/>
          <w:szCs w:val="32"/>
        </w:rPr>
        <w:t>日，向申请执行人</w:t>
      </w:r>
      <w:r>
        <w:rPr>
          <w:rFonts w:hint="eastAsia" w:ascii="仿宋" w:hAnsi="仿宋" w:eastAsia="仿宋"/>
          <w:sz w:val="32"/>
          <w:szCs w:val="32"/>
          <w:lang w:eastAsia="zh-CN"/>
        </w:rPr>
        <w:t>米秋林</w:t>
      </w:r>
      <w:r>
        <w:rPr>
          <w:rFonts w:hint="eastAsia" w:ascii="仿宋" w:hAnsi="仿宋" w:eastAsia="仿宋"/>
          <w:sz w:val="32"/>
          <w:szCs w:val="32"/>
        </w:rPr>
        <w:t>支付案款</w:t>
      </w:r>
      <w:r>
        <w:rPr>
          <w:rFonts w:hint="eastAsia" w:ascii="仿宋" w:hAnsi="仿宋" w:eastAsia="仿宋"/>
          <w:sz w:val="32"/>
          <w:szCs w:val="32"/>
          <w:lang w:val="en-US" w:eastAsia="zh-CN"/>
        </w:rPr>
        <w:t>416054.97</w:t>
      </w:r>
      <w:r>
        <w:rPr>
          <w:rFonts w:hint="eastAsia" w:ascii="仿宋" w:hAnsi="仿宋" w:eastAsia="仿宋"/>
          <w:sz w:val="32"/>
          <w:szCs w:val="32"/>
        </w:rPr>
        <w:t>元，</w:t>
      </w:r>
      <w:r>
        <w:rPr>
          <w:rFonts w:hint="eastAsia" w:ascii="仿宋" w:hAnsi="仿宋" w:eastAsia="仿宋"/>
          <w:sz w:val="32"/>
          <w:szCs w:val="32"/>
          <w:lang w:eastAsia="zh-CN"/>
        </w:rPr>
        <w:t>向本院支付</w:t>
      </w:r>
      <w:r>
        <w:rPr>
          <w:rFonts w:hint="eastAsia" w:ascii="仿宋" w:hAnsi="仿宋" w:eastAsia="仿宋"/>
          <w:sz w:val="32"/>
          <w:szCs w:val="32"/>
        </w:rPr>
        <w:t>申请执行费</w:t>
      </w:r>
      <w:r>
        <w:rPr>
          <w:rFonts w:hint="eastAsia" w:ascii="仿宋" w:hAnsi="仿宋" w:eastAsia="仿宋"/>
          <w:sz w:val="32"/>
          <w:szCs w:val="32"/>
          <w:lang w:val="en-US" w:eastAsia="zh-CN"/>
        </w:rPr>
        <w:t>5449</w:t>
      </w:r>
      <w:r>
        <w:rPr>
          <w:rFonts w:hint="eastAsia" w:ascii="仿宋" w:hAnsi="仿宋" w:eastAsia="仿宋"/>
          <w:sz w:val="32"/>
          <w:szCs w:val="32"/>
        </w:rPr>
        <w:t>元。至此，本案已执行完毕。依照《最高人民法院关于执行案件立案、结案若干问题的意见》第十四条第（一）项，第十五条第一款、第二款之规定，通知如下：</w:t>
      </w:r>
    </w:p>
    <w:p>
      <w:pPr>
        <w:wordWrap w:val="0"/>
        <w:spacing w:line="64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）吉7502执恢</w:t>
      </w:r>
      <w:r>
        <w:rPr>
          <w:rFonts w:hint="eastAsia" w:ascii="仿宋" w:hAnsi="仿宋" w:eastAsia="仿宋"/>
          <w:sz w:val="32"/>
          <w:szCs w:val="32"/>
          <w:lang w:val="en-US" w:eastAsia="zh-CN"/>
        </w:rPr>
        <w:t>1</w:t>
      </w:r>
      <w:r>
        <w:rPr>
          <w:rFonts w:hint="eastAsia" w:ascii="仿宋" w:hAnsi="仿宋" w:eastAsia="仿宋"/>
          <w:sz w:val="32"/>
          <w:szCs w:val="32"/>
        </w:rPr>
        <w:t>号案件已执行完毕。</w:t>
      </w:r>
    </w:p>
    <w:p>
      <w:pPr>
        <w:wordWrap w:val="0"/>
        <w:spacing w:line="640" w:lineRule="exact"/>
        <w:ind w:firstLine="640" w:firstLineChars="200"/>
        <w:rPr>
          <w:rFonts w:hint="eastAsia" w:ascii="仿宋" w:hAnsi="仿宋" w:eastAsia="仿宋"/>
          <w:sz w:val="32"/>
          <w:szCs w:val="32"/>
        </w:rPr>
      </w:pPr>
      <w:r>
        <w:rPr>
          <w:rFonts w:hint="eastAsia" w:ascii="仿宋" w:hAnsi="仿宋" w:eastAsia="仿宋"/>
          <w:sz w:val="32"/>
          <w:szCs w:val="32"/>
        </w:rPr>
        <w:t>特此通知。</w:t>
      </w:r>
    </w:p>
    <w:p>
      <w:pPr>
        <w:wordWrap w:val="0"/>
        <w:spacing w:line="640" w:lineRule="exact"/>
        <w:ind w:firstLine="640" w:firstLineChars="200"/>
        <w:rPr>
          <w:rFonts w:hint="eastAsia" w:ascii="仿宋" w:hAnsi="仿宋" w:eastAsia="仿宋"/>
          <w:sz w:val="32"/>
          <w:szCs w:val="32"/>
        </w:rPr>
      </w:pPr>
    </w:p>
    <w:p>
      <w:pPr>
        <w:wordWrap w:val="0"/>
        <w:spacing w:line="640" w:lineRule="exact"/>
        <w:ind w:firstLine="5120" w:firstLineChars="1600"/>
        <w:rPr>
          <w:rFonts w:hint="eastAsia" w:ascii="仿宋" w:hAnsi="仿宋" w:eastAsia="仿宋"/>
          <w:sz w:val="32"/>
          <w:szCs w:val="32"/>
          <w:lang w:eastAsia="zh-CN"/>
        </w:rPr>
      </w:pPr>
      <w:bookmarkStart w:id="0" w:name="_GoBack"/>
      <w:bookmarkEnd w:id="0"/>
      <w:r>
        <w:rPr>
          <w:rFonts w:hint="eastAsia" w:ascii="仿宋" w:hAnsi="仿宋" w:eastAsia="仿宋"/>
          <w:sz w:val="32"/>
          <w:szCs w:val="32"/>
        </w:rPr>
        <w:t>二〇二</w:t>
      </w:r>
      <w:r>
        <w:rPr>
          <w:rFonts w:hint="eastAsia" w:ascii="仿宋" w:hAnsi="仿宋" w:eastAsia="仿宋"/>
          <w:sz w:val="32"/>
          <w:szCs w:val="32"/>
          <w:lang w:eastAsia="zh-CN"/>
        </w:rPr>
        <w:t>二</w:t>
      </w:r>
      <w:r>
        <w:rPr>
          <w:rFonts w:hint="eastAsia" w:ascii="仿宋" w:hAnsi="仿宋" w:eastAsia="仿宋"/>
          <w:sz w:val="32"/>
          <w:szCs w:val="32"/>
        </w:rPr>
        <w:t>年</w:t>
      </w:r>
      <w:r>
        <w:rPr>
          <w:rFonts w:hint="eastAsia" w:ascii="仿宋" w:hAnsi="仿宋" w:eastAsia="仿宋"/>
          <w:sz w:val="32"/>
          <w:szCs w:val="32"/>
          <w:lang w:eastAsia="zh-CN"/>
        </w:rPr>
        <w:t>一</w:t>
      </w:r>
      <w:r>
        <w:rPr>
          <w:rFonts w:hint="eastAsia" w:ascii="仿宋" w:hAnsi="仿宋" w:eastAsia="仿宋"/>
          <w:sz w:val="32"/>
          <w:szCs w:val="32"/>
        </w:rPr>
        <w:t>月十</w:t>
      </w:r>
      <w:r>
        <w:rPr>
          <w:rFonts w:hint="eastAsia" w:ascii="仿宋" w:hAnsi="仿宋" w:eastAsia="仿宋"/>
          <w:sz w:val="32"/>
          <w:szCs w:val="32"/>
          <w:lang w:eastAsia="zh-CN"/>
        </w:rPr>
        <w:t>三</w:t>
      </w:r>
      <w:r>
        <w:rPr>
          <w:rFonts w:hint="eastAsia" w:ascii="仿宋" w:hAnsi="仿宋" w:eastAsia="仿宋"/>
          <w:sz w:val="32"/>
          <w:szCs w:val="32"/>
        </w:rPr>
        <w:t>日</w:t>
      </w:r>
    </w:p>
    <w:p>
      <w:pPr>
        <w:wordWrap w:val="0"/>
        <w:spacing w:line="640" w:lineRule="exact"/>
        <w:ind w:firstLine="640" w:firstLineChars="200"/>
        <w:rPr>
          <w:rFonts w:hint="default" w:ascii="仿宋" w:hAnsi="仿宋" w:eastAsia="仿宋"/>
          <w:sz w:val="32"/>
          <w:szCs w:val="32"/>
          <w:lang w:val="en-US" w:eastAsia="zh-CN"/>
        </w:rPr>
      </w:pPr>
    </w:p>
    <w:sectPr>
      <w:pgSz w:w="11906" w:h="16838"/>
      <w:pgMar w:top="2098" w:right="1469"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
    <w:altName w:val="DejaVu Math TeX Gyre"/>
    <w:panose1 w:val="00000000000000000000"/>
    <w:charset w:val="00"/>
    <w:family w:val="roman"/>
    <w:pitch w:val="default"/>
    <w:sig w:usb0="00000000" w:usb1="00000000" w:usb2="00000000" w:usb3="00000000" w:csb0="00000001" w:csb1="00000000"/>
  </w:font>
  <w:font w:name="仿宋_GB2312">
    <w:altName w:val="方正仿宋_GBK"/>
    <w:panose1 w:val="02010609030101010101"/>
    <w:charset w:val="86"/>
    <w:family w:val="modern"/>
    <w:pitch w:val="default"/>
    <w:sig w:usb0="00000000" w:usb1="00000000" w:usb2="00000010" w:usb3="00000000" w:csb0="00040000" w:csb1="00000000"/>
  </w:font>
  <w:font w:name="FangSong">
    <w:altName w:val="方正仿宋_GBK"/>
    <w:panose1 w:val="00000000000000000000"/>
    <w:charset w:val="86"/>
    <w:family w:val="auto"/>
    <w:pitch w:val="default"/>
    <w:sig w:usb0="00000000" w:usb1="00000000" w:usb2="00000010" w:usb3="00000000" w:csb0="00040001"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9CF"/>
    <w:rsid w:val="000119C0"/>
    <w:rsid w:val="000426CB"/>
    <w:rsid w:val="00055DA0"/>
    <w:rsid w:val="00060C89"/>
    <w:rsid w:val="000774A4"/>
    <w:rsid w:val="000816FD"/>
    <w:rsid w:val="000C01CB"/>
    <w:rsid w:val="000D42AB"/>
    <w:rsid w:val="001033EF"/>
    <w:rsid w:val="00114E69"/>
    <w:rsid w:val="001376B2"/>
    <w:rsid w:val="00155C3B"/>
    <w:rsid w:val="00156B13"/>
    <w:rsid w:val="001A7795"/>
    <w:rsid w:val="001B4B4A"/>
    <w:rsid w:val="001D5A0D"/>
    <w:rsid w:val="002058B6"/>
    <w:rsid w:val="00227F9D"/>
    <w:rsid w:val="002439BD"/>
    <w:rsid w:val="00247131"/>
    <w:rsid w:val="0028407F"/>
    <w:rsid w:val="00291615"/>
    <w:rsid w:val="002B7C17"/>
    <w:rsid w:val="002F090B"/>
    <w:rsid w:val="00315986"/>
    <w:rsid w:val="003223D2"/>
    <w:rsid w:val="00331583"/>
    <w:rsid w:val="003448A7"/>
    <w:rsid w:val="00387AE5"/>
    <w:rsid w:val="003B1861"/>
    <w:rsid w:val="003B22FF"/>
    <w:rsid w:val="003F19EF"/>
    <w:rsid w:val="00403655"/>
    <w:rsid w:val="00411C28"/>
    <w:rsid w:val="00436CF4"/>
    <w:rsid w:val="00491064"/>
    <w:rsid w:val="004F521A"/>
    <w:rsid w:val="00506220"/>
    <w:rsid w:val="00507EC4"/>
    <w:rsid w:val="0053457C"/>
    <w:rsid w:val="0054066B"/>
    <w:rsid w:val="00577F10"/>
    <w:rsid w:val="00597EF1"/>
    <w:rsid w:val="005A3030"/>
    <w:rsid w:val="005C2246"/>
    <w:rsid w:val="00624E03"/>
    <w:rsid w:val="006417B8"/>
    <w:rsid w:val="006441E1"/>
    <w:rsid w:val="006A75F3"/>
    <w:rsid w:val="006E180F"/>
    <w:rsid w:val="00700D05"/>
    <w:rsid w:val="0071764F"/>
    <w:rsid w:val="00723145"/>
    <w:rsid w:val="00753208"/>
    <w:rsid w:val="007537D2"/>
    <w:rsid w:val="00760AE5"/>
    <w:rsid w:val="0078029C"/>
    <w:rsid w:val="007A0539"/>
    <w:rsid w:val="007E6730"/>
    <w:rsid w:val="007E6E59"/>
    <w:rsid w:val="00813FAF"/>
    <w:rsid w:val="0081710D"/>
    <w:rsid w:val="00823C44"/>
    <w:rsid w:val="00824A0B"/>
    <w:rsid w:val="0084232E"/>
    <w:rsid w:val="0084594A"/>
    <w:rsid w:val="008678EE"/>
    <w:rsid w:val="00873901"/>
    <w:rsid w:val="00884BA4"/>
    <w:rsid w:val="00892551"/>
    <w:rsid w:val="008A48BE"/>
    <w:rsid w:val="008A4A67"/>
    <w:rsid w:val="008B15A0"/>
    <w:rsid w:val="008B4261"/>
    <w:rsid w:val="008C78EE"/>
    <w:rsid w:val="008D2767"/>
    <w:rsid w:val="008E7A2D"/>
    <w:rsid w:val="00904A59"/>
    <w:rsid w:val="009156C0"/>
    <w:rsid w:val="009236EE"/>
    <w:rsid w:val="00931FE7"/>
    <w:rsid w:val="00933BD1"/>
    <w:rsid w:val="00961293"/>
    <w:rsid w:val="009964C3"/>
    <w:rsid w:val="0099698B"/>
    <w:rsid w:val="009E0B12"/>
    <w:rsid w:val="009F2CD7"/>
    <w:rsid w:val="00A24FA4"/>
    <w:rsid w:val="00A311B9"/>
    <w:rsid w:val="00A358E7"/>
    <w:rsid w:val="00A61409"/>
    <w:rsid w:val="00A879D0"/>
    <w:rsid w:val="00AA0476"/>
    <w:rsid w:val="00AA41BD"/>
    <w:rsid w:val="00AD0C7B"/>
    <w:rsid w:val="00AE1335"/>
    <w:rsid w:val="00B1147B"/>
    <w:rsid w:val="00B22B8C"/>
    <w:rsid w:val="00B35EEA"/>
    <w:rsid w:val="00B644B0"/>
    <w:rsid w:val="00B70D3F"/>
    <w:rsid w:val="00BB5F57"/>
    <w:rsid w:val="00C06ABE"/>
    <w:rsid w:val="00C22EEE"/>
    <w:rsid w:val="00C31AE0"/>
    <w:rsid w:val="00C51C4F"/>
    <w:rsid w:val="00C757A4"/>
    <w:rsid w:val="00C76892"/>
    <w:rsid w:val="00CB5428"/>
    <w:rsid w:val="00CB561C"/>
    <w:rsid w:val="00CD5900"/>
    <w:rsid w:val="00D009CF"/>
    <w:rsid w:val="00D36A0C"/>
    <w:rsid w:val="00D44ED3"/>
    <w:rsid w:val="00D47BA6"/>
    <w:rsid w:val="00D70171"/>
    <w:rsid w:val="00D97B02"/>
    <w:rsid w:val="00DA29D8"/>
    <w:rsid w:val="00DD42F9"/>
    <w:rsid w:val="00DD5838"/>
    <w:rsid w:val="00E0044E"/>
    <w:rsid w:val="00E2089B"/>
    <w:rsid w:val="00E23119"/>
    <w:rsid w:val="00E35550"/>
    <w:rsid w:val="00E43287"/>
    <w:rsid w:val="00E44F86"/>
    <w:rsid w:val="00E50D14"/>
    <w:rsid w:val="00E97926"/>
    <w:rsid w:val="00F05255"/>
    <w:rsid w:val="00F1390E"/>
    <w:rsid w:val="00F40AC5"/>
    <w:rsid w:val="00F50CEE"/>
    <w:rsid w:val="00F5541A"/>
    <w:rsid w:val="00F60302"/>
    <w:rsid w:val="00FA5289"/>
    <w:rsid w:val="00FC6431"/>
    <w:rsid w:val="00FF0973"/>
    <w:rsid w:val="19FFE30E"/>
    <w:rsid w:val="37F54AE8"/>
    <w:rsid w:val="3CE7342C"/>
    <w:rsid w:val="3E7F4F98"/>
    <w:rsid w:val="752F6CAD"/>
    <w:rsid w:val="79DD601F"/>
    <w:rsid w:val="7FF50F17"/>
    <w:rsid w:val="BBE6AF53"/>
    <w:rsid w:val="BFFE5ECE"/>
    <w:rsid w:val="D7C5DE84"/>
    <w:rsid w:val="DF3D0FAC"/>
    <w:rsid w:val="E3717CEB"/>
    <w:rsid w:val="E5AD3385"/>
    <w:rsid w:val="F0E3C548"/>
    <w:rsid w:val="F7FE2334"/>
    <w:rsid w:val="FD0B7A93"/>
    <w:rsid w:val="FDFF2BCD"/>
    <w:rsid w:val="FFB2B1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批注框文本 Char"/>
    <w:basedOn w:val="8"/>
    <w:link w:val="3"/>
    <w:semiHidden/>
    <w:qFormat/>
    <w:uiPriority w:val="99"/>
    <w:rPr>
      <w:sz w:val="18"/>
      <w:szCs w:val="18"/>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日期 Char"/>
    <w:basedOn w:val="8"/>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660</Words>
  <Characters>3766</Characters>
  <Lines>31</Lines>
  <Paragraphs>8</Paragraphs>
  <TotalTime>3</TotalTime>
  <ScaleCrop>false</ScaleCrop>
  <LinksUpToDate>false</LinksUpToDate>
  <CharactersWithSpaces>4418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2019-09-28T15:56:00Z</dcterms:created>
  <dc:creator>李鲜</dc:creator>
  <cp:lastModifiedBy>helong</cp:lastModifiedBy>
  <cp:lastPrinted>2021-12-11T10:17:00Z</cp:lastPrinted>
  <dcterms:modified xsi:type="dcterms:W3CDTF">2022-11-10T16:01:54Z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