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和龙林区基层法院工作情况汇报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和龙</w:t>
      </w:r>
      <w:r>
        <w:rPr>
          <w:rFonts w:hint="eastAsia" w:ascii="仿宋" w:hAnsi="仿宋" w:eastAsia="仿宋"/>
          <w:sz w:val="32"/>
          <w:szCs w:val="32"/>
          <w:lang w:eastAsia="zh-CN"/>
        </w:rPr>
        <w:t>林区基层</w:t>
      </w:r>
      <w:r>
        <w:rPr>
          <w:rFonts w:hint="eastAsia" w:ascii="仿宋" w:hAnsi="仿宋" w:eastAsia="仿宋"/>
          <w:sz w:val="32"/>
          <w:szCs w:val="32"/>
        </w:rPr>
        <w:t>法院高举习近平新时代中国特色社会主义思想伟大旗帜，按照“政治建院、素质强院”的总体思路，以“正规化、专业化、职业化”司法队伍为标准，坚持党建带队建促审判，以工作创新、教育创新、管理创新、机制创新为抓手，努力打造一支“政治过硬、业务过硬、责任过硬、作风过硬、纪律过硬”的司法队伍，在全院形成了团结进取、创先争优的良好氛围，推动了法院各项工作的开展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一、法院队伍建设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基本概况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和龙</w:t>
      </w:r>
      <w:r>
        <w:rPr>
          <w:rFonts w:hint="eastAsia" w:ascii="仿宋" w:hAnsi="仿宋" w:eastAsia="仿宋"/>
          <w:sz w:val="32"/>
          <w:szCs w:val="32"/>
          <w:lang w:eastAsia="zh-CN"/>
        </w:rPr>
        <w:t>林区基层</w:t>
      </w:r>
      <w:r>
        <w:rPr>
          <w:rFonts w:hint="eastAsia" w:ascii="仿宋" w:hAnsi="仿宋" w:eastAsia="仿宋"/>
          <w:sz w:val="32"/>
          <w:szCs w:val="32"/>
        </w:rPr>
        <w:t>法院现实有干警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核定中央政法编制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sz w:val="32"/>
          <w:szCs w:val="32"/>
        </w:rPr>
        <w:t>人，实有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sz w:val="32"/>
          <w:szCs w:val="32"/>
        </w:rPr>
        <w:t>人；工勤编制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人，实有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人；文职人员</w:t>
      </w:r>
      <w:r>
        <w:rPr>
          <w:rFonts w:hint="eastAsia" w:ascii="仿宋" w:hAnsi="仿宋" w:eastAsia="仿宋"/>
          <w:sz w:val="32"/>
          <w:szCs w:val="32"/>
          <w:lang w:eastAsia="zh-CN"/>
        </w:rPr>
        <w:t>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12人，实有8人；聘用制人员3人；中院借调到我院法官助理2人；</w:t>
      </w:r>
      <w:r>
        <w:rPr>
          <w:rFonts w:hint="eastAsia" w:ascii="仿宋" w:hAnsi="仿宋" w:eastAsia="仿宋"/>
          <w:sz w:val="32"/>
          <w:szCs w:val="32"/>
          <w:lang w:eastAsia="zh-CN"/>
        </w:rPr>
        <w:t>我院借调到敦化院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员额法官年龄结构：员额法官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人，占行政编总人数的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28.57</w:t>
      </w:r>
      <w:r>
        <w:rPr>
          <w:rFonts w:hint="eastAsia" w:ascii="仿宋" w:hAnsi="仿宋" w:eastAsia="仿宋"/>
          <w:sz w:val="32"/>
          <w:szCs w:val="32"/>
        </w:rPr>
        <w:t>%。35岁以下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人，36-45岁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人，46岁以上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法官助理、书记员</w:t>
      </w:r>
      <w:r>
        <w:rPr>
          <w:rFonts w:hint="eastAsia" w:ascii="仿宋" w:hAnsi="仿宋" w:eastAsia="仿宋"/>
          <w:sz w:val="32"/>
          <w:szCs w:val="32"/>
          <w:lang w:eastAsia="zh-CN"/>
        </w:rPr>
        <w:t>年龄结构</w:t>
      </w:r>
      <w:r>
        <w:rPr>
          <w:rFonts w:hint="eastAsia" w:ascii="仿宋" w:hAnsi="仿宋" w:eastAsia="仿宋"/>
          <w:sz w:val="32"/>
          <w:szCs w:val="32"/>
        </w:rPr>
        <w:t>：现有法官助理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书记员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人。35岁以下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人，36-45岁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人，46岁以上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司法警察年龄结构：司法警察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7人。</w:t>
      </w:r>
      <w:r>
        <w:rPr>
          <w:rFonts w:hint="eastAsia" w:ascii="仿宋" w:hAnsi="仿宋" w:eastAsia="仿宋"/>
          <w:sz w:val="32"/>
          <w:szCs w:val="32"/>
        </w:rPr>
        <w:t>35岁以下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人，36-45岁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人，46岁以上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司法行政人员年龄结构：司法行政人员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13人。</w:t>
      </w:r>
      <w:r>
        <w:rPr>
          <w:rFonts w:hint="eastAsia" w:ascii="仿宋" w:hAnsi="仿宋" w:eastAsia="仿宋"/>
          <w:sz w:val="32"/>
          <w:szCs w:val="32"/>
        </w:rPr>
        <w:t>35岁以下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人，36-45岁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人，46岁以上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二、法院审判执行概况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2020年1-5月份，我院坚持以司法为公为己任，审判质效得到稳步提升。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共受理各类案件116件，审结104件，结案率为93.97%，结收比为96.46%，法官人均审结诉讼案件7 件，平均审理天数12天。</w:t>
      </w:r>
    </w:p>
    <w:p>
      <w:pPr>
        <w:ind w:firstLine="630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1-5月份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刑事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收案件13件15人，旧存2件2人，已结13件，结案率86.67%，其中诈骗罪1件1人，盗窃罪1件2人，非法采伐、毁坏国家重点保护植物罪7件7人，盗伐林木罪1件1人，掩饰、隐瞒犯罪所得收益罪1件1人，帮助信息网络犯罪活动罪2件3人，其中判处有期徒刑27人、拘役9人、管制5人，单处罚金7人。</w:t>
      </w:r>
    </w:p>
    <w:p>
      <w:pPr>
        <w:ind w:firstLine="630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1-5月份新收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民事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案件47件，旧存1件，已结43件，结案率89.58%，其中婚姻家庭、继承纠纷9件，劳动争议案件23件，合同、准合同纠纷旧存28件,与公司、证券、保险、票据等有关的民事纠纷1件,侵权纠纷4件, 劳动争议、人事争议5件, 非讼程序案件案由1件。判决13件，撤诉20件、调解10件。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1-5月份共</w:t>
      </w:r>
      <w:r>
        <w:rPr>
          <w:rFonts w:hint="eastAsia" w:ascii="仿宋" w:hAnsi="仿宋" w:eastAsia="仿宋"/>
          <w:sz w:val="32"/>
          <w:szCs w:val="32"/>
        </w:rPr>
        <w:t>受理各类</w:t>
      </w:r>
      <w:r>
        <w:rPr>
          <w:rFonts w:hint="eastAsia" w:ascii="仿宋" w:hAnsi="仿宋" w:eastAsia="仿宋"/>
          <w:b/>
          <w:bCs/>
          <w:sz w:val="32"/>
          <w:szCs w:val="32"/>
        </w:rPr>
        <w:t>执行</w:t>
      </w:r>
      <w:r>
        <w:rPr>
          <w:rFonts w:hint="eastAsia" w:ascii="仿宋" w:hAnsi="仿宋" w:eastAsia="仿宋"/>
          <w:sz w:val="32"/>
          <w:szCs w:val="32"/>
        </w:rPr>
        <w:t>案件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/>
          <w:sz w:val="32"/>
          <w:szCs w:val="32"/>
        </w:rPr>
        <w:t>件，已执结案件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/>
          <w:sz w:val="32"/>
          <w:szCs w:val="32"/>
        </w:rPr>
        <w:t>件，结案率为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终本合格率为100%，法定期限内结案率为100%，首次执行案件实际执行到位金额为97.78万元，</w:t>
      </w:r>
      <w:r>
        <w:rPr>
          <w:rFonts w:hint="eastAsia" w:ascii="仿宋" w:hAnsi="仿宋" w:eastAsia="仿宋"/>
          <w:sz w:val="32"/>
          <w:szCs w:val="32"/>
        </w:rPr>
        <w:t>实际执行到位率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56.4%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三、正风肃纪强作风，扎实推进政法队伍教育整顿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政法队伍教育整顿开展以来，按照上级的统一要求，我院牢牢把握政法队伍整顿教育要求，本着先学先改、有序衔接、持续推进的原则，主动作为，早谋划、早部署、早落实，做足准备、打牢基础。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政治站位。按照省委以及上级法院要求，看齐紧跟、对标对表，确保不走形、不变样。一是传达精神到位。省州县动员部署会召开后，我院第一时间传达，立即安排部署，要求院班子成员坚决扛起主体责任，高质量推进、高标准落实。二是组织领导到位。参照上级组织架构，成立了法院政法队伍整顿教育领导小组，设立领导小组办公室，制定《和龙林区基层法院政法队伍教育整顿实施方案》，要求领导干部带头示范，干警全覆盖参与。三是思想发动到位。紧扣政法队伍教育整顿要求，及时召开动员会，对教育整顿进行安排部署，提高认识，统一思想，围绕“四项任务”“三个环节”具体目标，推动干警增强“四个意识”，坚定“四个自信”，做到“两个维护”，为政法队伍教育整顿做好思想准备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认真组织学习。一是丰富学习内容。在学习规定篇目的同时，结合本院工作实际，搞好自选篇目学习。既要学党史、学理论、学业务知识，也要在提高思想认识的同时提高业务素能。二是改进学习方式。集中学、自学相结合，将忠诚铸魂专题、党性修身专题、警示教育专题、能力提升专题、典型引领专题、交流学习专题与我院党建工作结合，纳入“三会一课”、主题党日，积极开展主题党课活动，党组书记、院长朴铉进为全院干警讲授专题党课。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（三）</w:t>
      </w:r>
      <w:r>
        <w:rPr>
          <w:rFonts w:ascii="仿宋" w:hAnsi="仿宋" w:eastAsia="仿宋" w:cs="宋体"/>
          <w:kern w:val="0"/>
          <w:sz w:val="32"/>
          <w:szCs w:val="32"/>
        </w:rPr>
        <w:t>坚持目标导向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>提前开展人员队伍和审判执行基本情况调研，谋划沟通联络机制建设，开展全覆盖谈心谈话，让有问题的干警放下“包袱”，主动讲清，做到底数清楚，情况明晰。要聚焦扫黑除恶专项斗争、涉法涉诉信访、案件评查、审务督察等重点工作内容，深入梳理查究问题线索，建立工作台账。要结合巡视巡察，与教育整顿工作互为补充、共推共进，着力解决好队伍建设与审执工作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四、提高机关党建工作质量，圆满完成建党100周年工作任务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和龙林区基层法院始终将党建工作作为我院重点工作进行，在建党100周年之际，积极开展各项活动，建设高素质、有担当、有觉悟的法院队伍。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一）学习理论知识，加强自身建设。一是按期召开党组理论中心组学习（扩大）会议，会议由党组书记、院长朴铉进主持，党组理论中心组成员及各部门负责人参加会议；二是组织支部干警开展“学党史、知党恩、跟党走”系列学习测试活动；三是我院党组书记、院长朴铉进以“不忘初心，学好党史”为主题，为全院干警讲授专题党课，全院干警根据党课内容以“入党少年回头看”为主题撰写心得体会；四是我院邀请和龙市委党校许怀君教授做“中国共产党的百年历程与启示”专题党课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二）抓好专题学习，开展党建主题活动。一是我院以部门为单位开展“讲讲我的入党故事”主题征文活动；二是我院开展“走访送关坏慰问暖人心”走访慰问活动，向逝世党员家属送去组织的温暖与关坏；三是组织青年干警开展“青春心向党”主题演讲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三）强化作风建设，培育廉政氛围。一是组织干警前往和龙市爱国主义教育基地——药水洞苏维埃政府遗址开展清明祭扫活动；二是全院干警观看红色影片《旗帜》；三是组织干警到延边州廉政教育馆参观以“全面从严治党永远在路上”主题教育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现阶段存在的问题及下一步工作计划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一、临聘岗位人员形同“过客”。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2019年我院通过考试招录文职人员12人，但招聘的文职人员使用结果不尽人意，存在一边招聘、一边培养、一边流失的严重现象，文职人员工资待遇低与工作要求高的差距，使得很多文职人员随时准备离岗，截止目前已有4人离职，文职补录工作尚未开展，导致人员缺乏，队伍的不稳定性极大地影响了工作的连续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二、司法警察老龄化问题突出。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我院司法警察核定编制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4人，实有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司法警察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7人，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现有司法警察中</w:t>
      </w:r>
      <w:r>
        <w:rPr>
          <w:rFonts w:hint="eastAsia" w:ascii="仿宋" w:hAnsi="仿宋" w:eastAsia="仿宋"/>
          <w:sz w:val="32"/>
          <w:szCs w:val="32"/>
        </w:rPr>
        <w:t>46岁以上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，占司法警察总人数的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71.43%</w:t>
      </w:r>
      <w:r>
        <w:rPr>
          <w:rFonts w:hint="eastAsia" w:ascii="仿宋" w:hAnsi="仿宋" w:eastAsia="仿宋"/>
          <w:sz w:val="32"/>
          <w:szCs w:val="32"/>
          <w:lang w:eastAsia="zh-CN"/>
        </w:rPr>
        <w:t>，人员老龄化严重，不足以承担日常安保安检工作，且由于超职数原因，目前不可以招录司法警察。目前，我院拟对社会公开招录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4名年轻辅警，但资金缺乏。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三、干部人事任免工作存在困难。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是院领导班子配备不齐，我院目前仅有院长、常务副院长、纪检组组长3名党组成员，由于副科长级领导职数被占问题，无法提拔任命院领导班子成员，导致吴龙吉等同志无法任命，开展工作中多有不便；二是关于中层领导干部提拔工作，我院中层领导干部目前仅有综合审判庭庭长、综合办公室主任、司法警察大队队长、机关党总支专职副书记4人，其中机关党总支专职副书记将于6月份退休，我院拟提拔一批中层领导干部，需要通过中院审批。</w:t>
      </w:r>
    </w:p>
    <w:p>
      <w:pPr>
        <w:keepNext w:val="0"/>
        <w:keepLines w:val="0"/>
        <w:pageBreakBefore w:val="0"/>
        <w:widowControl w:val="0"/>
        <w:tabs>
          <w:tab w:val="left" w:pos="48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以上是我院2021年1-5月份工作情况汇报，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今后，我们有决心攻坚克难，奋发进取，在上级法院的带领下，以更加饱满的工作热情，以更大的工作成效，实现林区法院审判工作取得令人满意的成绩。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FD86D"/>
    <w:multiLevelType w:val="singleLevel"/>
    <w:tmpl w:val="DA4FD8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D7772"/>
    <w:rsid w:val="07A27189"/>
    <w:rsid w:val="0AB96269"/>
    <w:rsid w:val="0DF52B1B"/>
    <w:rsid w:val="118B2273"/>
    <w:rsid w:val="16C02CF7"/>
    <w:rsid w:val="17282CD7"/>
    <w:rsid w:val="1CB5236B"/>
    <w:rsid w:val="1D693118"/>
    <w:rsid w:val="1D8C61A2"/>
    <w:rsid w:val="20667B24"/>
    <w:rsid w:val="24B83E25"/>
    <w:rsid w:val="29A26F33"/>
    <w:rsid w:val="2E9968E9"/>
    <w:rsid w:val="365733BC"/>
    <w:rsid w:val="36F81E59"/>
    <w:rsid w:val="3AC423B4"/>
    <w:rsid w:val="3F512563"/>
    <w:rsid w:val="41EC6716"/>
    <w:rsid w:val="484552F5"/>
    <w:rsid w:val="61D0256E"/>
    <w:rsid w:val="63950A86"/>
    <w:rsid w:val="6CA8097F"/>
    <w:rsid w:val="70AE5A51"/>
    <w:rsid w:val="7B5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2020-07-04T04:33:00Z</dcterms:created>
  <dc:creator>Administrator</dc:creator>
  <cp:lastModifiedBy>Administrator</cp:lastModifiedBy>
  <dcterms:modified xsi:type="dcterms:W3CDTF">2021-05-31T07:02:53Z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6B657D5375E14E82974ED9CF9EE89054</vt:lpwstr>
  </property>
</Properties>
</file>